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6654" w14:textId="77777777" w:rsidR="00A31614" w:rsidRPr="00EB2107" w:rsidRDefault="00A31614" w:rsidP="00A31614">
      <w:pPr>
        <w:spacing w:after="160" w:line="278" w:lineRule="auto"/>
        <w:jc w:val="left"/>
        <w:rPr>
          <w:lang w:val="es-EC"/>
        </w:rPr>
      </w:pPr>
      <w:r w:rsidRPr="00EB2107">
        <w:rPr>
          <w:noProof/>
          <w:lang w:val="es-EC"/>
          <w14:ligatures w14:val="standardContextual"/>
        </w:rPr>
        <w:drawing>
          <wp:anchor distT="0" distB="0" distL="114300" distR="114300" simplePos="0" relativeHeight="251659264" behindDoc="1" locked="0" layoutInCell="1" allowOverlap="1" wp14:anchorId="01BB8E42" wp14:editId="134D2E48">
            <wp:simplePos x="0" y="0"/>
            <wp:positionH relativeFrom="column">
              <wp:posOffset>2540</wp:posOffset>
            </wp:positionH>
            <wp:positionV relativeFrom="paragraph">
              <wp:posOffset>3175</wp:posOffset>
            </wp:positionV>
            <wp:extent cx="2880000" cy="985630"/>
            <wp:effectExtent l="0" t="0" r="0" b="0"/>
            <wp:wrapNone/>
            <wp:docPr id="7216796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39284" name="Imagen 2100939284"/>
                    <pic:cNvPicPr/>
                  </pic:nvPicPr>
                  <pic:blipFill rotWithShape="1">
                    <a:blip r:embed="rId6" cstate="print">
                      <a:extLst>
                        <a:ext uri="{28A0092B-C50C-407E-A947-70E740481C1C}">
                          <a14:useLocalDpi xmlns:a14="http://schemas.microsoft.com/office/drawing/2010/main" val="0"/>
                        </a:ext>
                      </a:extLst>
                    </a:blip>
                    <a:srcRect t="33010" b="32767"/>
                    <a:stretch>
                      <a:fillRect/>
                    </a:stretch>
                  </pic:blipFill>
                  <pic:spPr bwMode="auto">
                    <a:xfrm>
                      <a:off x="0" y="0"/>
                      <a:ext cx="2880000" cy="985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B82DA" w14:textId="77777777" w:rsidR="00A31614" w:rsidRPr="00EB2107" w:rsidRDefault="00A31614" w:rsidP="00A31614">
      <w:pPr>
        <w:spacing w:after="160" w:line="278" w:lineRule="auto"/>
        <w:jc w:val="left"/>
        <w:rPr>
          <w:lang w:val="es-EC"/>
        </w:rPr>
      </w:pPr>
    </w:p>
    <w:p w14:paraId="2BB7B2F9" w14:textId="77777777" w:rsidR="00A31614" w:rsidRPr="00EB2107" w:rsidRDefault="00A31614" w:rsidP="00A31614">
      <w:pPr>
        <w:spacing w:after="160" w:line="278" w:lineRule="auto"/>
        <w:jc w:val="left"/>
        <w:rPr>
          <w:lang w:val="es-EC"/>
        </w:rPr>
      </w:pPr>
    </w:p>
    <w:p w14:paraId="4159C2C3" w14:textId="77777777" w:rsidR="00A31614" w:rsidRPr="00EB2107" w:rsidRDefault="00A31614" w:rsidP="00A31614">
      <w:pPr>
        <w:spacing w:after="160" w:line="278" w:lineRule="auto"/>
        <w:jc w:val="left"/>
        <w:rPr>
          <w:lang w:val="es-EC"/>
        </w:rPr>
      </w:pPr>
    </w:p>
    <w:p w14:paraId="2B91978C" w14:textId="2807BF9D" w:rsidR="00A31614" w:rsidRPr="00EB2107" w:rsidRDefault="00B435E9" w:rsidP="00A31614">
      <w:pPr>
        <w:spacing w:line="240" w:lineRule="auto"/>
        <w:jc w:val="left"/>
        <w:rPr>
          <w:rFonts w:cs="Times New Roman"/>
          <w:b/>
          <w:bCs/>
          <w:lang w:val="es-EC"/>
        </w:rPr>
      </w:pPr>
      <w:r>
        <w:rPr>
          <w:rFonts w:cs="Times New Roman"/>
          <w:b/>
          <w:bCs/>
          <w:lang w:val="es-EC"/>
        </w:rPr>
        <w:t>Septiembre</w:t>
      </w:r>
      <w:r w:rsidR="00A31614" w:rsidRPr="00EB2107">
        <w:rPr>
          <w:rFonts w:cs="Times New Roman"/>
          <w:b/>
          <w:bCs/>
          <w:lang w:val="es-EC"/>
        </w:rPr>
        <w:t xml:space="preserve"> 2026 – Educa Plus Editorial Académica</w:t>
      </w:r>
    </w:p>
    <w:p w14:paraId="0B6F8E22" w14:textId="77777777" w:rsidR="00A31614" w:rsidRPr="00EB2107" w:rsidRDefault="00A31614" w:rsidP="00A31614">
      <w:pPr>
        <w:spacing w:line="240" w:lineRule="auto"/>
        <w:jc w:val="left"/>
        <w:rPr>
          <w:rFonts w:cs="Times New Roman"/>
          <w:lang w:val="es-EC"/>
        </w:rPr>
      </w:pPr>
      <w:r w:rsidRPr="00EB2107">
        <w:rPr>
          <w:rFonts w:cs="Times New Roman"/>
          <w:lang w:val="es-EC"/>
        </w:rPr>
        <w:t>Copyright © Educa Plus Editorial Académica</w:t>
      </w:r>
    </w:p>
    <w:p w14:paraId="51AC71A3" w14:textId="77777777" w:rsidR="00A31614" w:rsidRPr="00EB2107" w:rsidRDefault="00A31614" w:rsidP="00A31614">
      <w:pPr>
        <w:spacing w:line="240" w:lineRule="auto"/>
        <w:jc w:val="left"/>
        <w:rPr>
          <w:rFonts w:cs="Times New Roman"/>
          <w:lang w:val="es-EC"/>
        </w:rPr>
      </w:pPr>
      <w:r w:rsidRPr="00EB2107">
        <w:rPr>
          <w:rFonts w:cs="Times New Roman"/>
          <w:lang w:val="es-EC"/>
        </w:rPr>
        <w:t xml:space="preserve">Copyright del texto © 2026 de </w:t>
      </w:r>
      <w:r>
        <w:rPr>
          <w:rFonts w:cs="Times New Roman"/>
          <w:lang w:val="es-EC"/>
        </w:rPr>
        <w:t>a</w:t>
      </w:r>
      <w:r w:rsidRPr="00EB2107">
        <w:rPr>
          <w:rFonts w:cs="Times New Roman"/>
          <w:lang w:val="es-EC"/>
        </w:rPr>
        <w:t>utores</w:t>
      </w:r>
    </w:p>
    <w:p w14:paraId="5F905866" w14:textId="77777777" w:rsidR="00A31614" w:rsidRPr="00E06740" w:rsidRDefault="00A31614" w:rsidP="00A31614">
      <w:pPr>
        <w:spacing w:line="240" w:lineRule="auto"/>
        <w:jc w:val="left"/>
        <w:rPr>
          <w:rFonts w:cs="Times New Roman"/>
          <w:lang w:val="es-EC"/>
        </w:rPr>
      </w:pPr>
      <w:r w:rsidRPr="00EB2107">
        <w:rPr>
          <w:rFonts w:cs="Times New Roman"/>
          <w:lang w:val="es-EC"/>
        </w:rPr>
        <w:t xml:space="preserve">Ecuador, Naranjito, Cod. </w:t>
      </w:r>
      <w:r w:rsidRPr="00E06740">
        <w:rPr>
          <w:rFonts w:cs="Times New Roman"/>
          <w:lang w:val="es-EC"/>
        </w:rPr>
        <w:t>Post. 091803</w:t>
      </w:r>
    </w:p>
    <w:p w14:paraId="3F9C2742" w14:textId="77777777" w:rsidR="00A31614" w:rsidRPr="00E06740" w:rsidRDefault="00A31614" w:rsidP="00A31614">
      <w:pPr>
        <w:spacing w:line="240" w:lineRule="auto"/>
        <w:jc w:val="left"/>
        <w:rPr>
          <w:rFonts w:cs="Times New Roman"/>
          <w:lang w:val="es-EC"/>
        </w:rPr>
      </w:pPr>
      <w:r w:rsidRPr="00E06740">
        <w:rPr>
          <w:rFonts w:cs="Times New Roman"/>
          <w:b/>
          <w:bCs/>
          <w:lang w:val="es-EC"/>
        </w:rPr>
        <w:t>Email:</w:t>
      </w:r>
      <w:r w:rsidRPr="00E06740">
        <w:rPr>
          <w:rFonts w:cs="Times New Roman"/>
          <w:lang w:val="es-EC"/>
        </w:rPr>
        <w:t xml:space="preserve"> </w:t>
      </w:r>
      <w:hyperlink r:id="rId7" w:history="1">
        <w:r w:rsidRPr="00E06740">
          <w:rPr>
            <w:rStyle w:val="Hipervnculo"/>
            <w:rFonts w:cs="Times New Roman"/>
            <w:lang w:val="es-EC"/>
          </w:rPr>
          <w:t>editor@redsa.ec</w:t>
        </w:r>
      </w:hyperlink>
    </w:p>
    <w:p w14:paraId="649ADF86" w14:textId="77777777" w:rsidR="00A31614" w:rsidRPr="00CD7452" w:rsidRDefault="00A31614" w:rsidP="00A31614">
      <w:pPr>
        <w:spacing w:line="240" w:lineRule="auto"/>
        <w:jc w:val="left"/>
        <w:rPr>
          <w:rFonts w:cs="Times New Roman"/>
          <w:lang w:val="pt-PT"/>
        </w:rPr>
      </w:pPr>
      <w:r w:rsidRPr="00CD7452">
        <w:rPr>
          <w:rFonts w:cs="Times New Roman"/>
          <w:b/>
          <w:bCs/>
          <w:lang w:val="pt-PT"/>
        </w:rPr>
        <w:t xml:space="preserve">Contacto: </w:t>
      </w:r>
      <w:r w:rsidRPr="00CD7452">
        <w:rPr>
          <w:rFonts w:cs="Times New Roman"/>
          <w:lang w:val="pt-PT"/>
        </w:rPr>
        <w:t>+593 960 838 709</w:t>
      </w:r>
    </w:p>
    <w:p w14:paraId="247DFBA3" w14:textId="77777777" w:rsidR="00A31614" w:rsidRPr="00CD7452" w:rsidRDefault="00A31614" w:rsidP="00A31614">
      <w:pPr>
        <w:spacing w:line="240" w:lineRule="auto"/>
        <w:jc w:val="left"/>
        <w:rPr>
          <w:rFonts w:cs="Times New Roman"/>
          <w:lang w:val="pt-PT"/>
        </w:rPr>
      </w:pPr>
      <w:hyperlink r:id="rId8" w:history="1">
        <w:r w:rsidRPr="00CD7452">
          <w:rPr>
            <w:rStyle w:val="Hipervnculo"/>
            <w:rFonts w:cs="Times New Roman"/>
            <w:lang w:val="pt-PT"/>
          </w:rPr>
          <w:t>https://biblioteca.redsa.ec/</w:t>
        </w:r>
      </w:hyperlink>
      <w:r w:rsidRPr="00CD7452">
        <w:rPr>
          <w:rFonts w:cs="Times New Roman"/>
          <w:lang w:val="pt-PT"/>
        </w:rPr>
        <w:t xml:space="preserve"> </w:t>
      </w:r>
    </w:p>
    <w:p w14:paraId="102B5B88" w14:textId="77777777" w:rsidR="00A31614" w:rsidRPr="00CD7452" w:rsidRDefault="00A31614" w:rsidP="00A31614">
      <w:pPr>
        <w:spacing w:line="240" w:lineRule="auto"/>
        <w:jc w:val="left"/>
        <w:rPr>
          <w:rFonts w:cs="Times New Roman"/>
          <w:lang w:val="pt-PT"/>
        </w:rPr>
      </w:pPr>
    </w:p>
    <w:tbl>
      <w:tblPr>
        <w:tblStyle w:val="Tablaconcuadrcula"/>
        <w:tblW w:w="0" w:type="auto"/>
        <w:tblLook w:val="04A0" w:firstRow="1" w:lastRow="0" w:firstColumn="1" w:lastColumn="0" w:noHBand="0" w:noVBand="1"/>
      </w:tblPr>
      <w:tblGrid>
        <w:gridCol w:w="8494"/>
      </w:tblGrid>
      <w:tr w:rsidR="00A31614" w:rsidRPr="00EB2107" w14:paraId="7B302691" w14:textId="77777777" w:rsidTr="00347BFE">
        <w:tc>
          <w:tcPr>
            <w:tcW w:w="8494" w:type="dxa"/>
          </w:tcPr>
          <w:p w14:paraId="6A633689" w14:textId="77777777" w:rsidR="00A31614" w:rsidRPr="00EB2107" w:rsidRDefault="00A31614" w:rsidP="00347BFE">
            <w:pPr>
              <w:spacing w:after="160" w:line="276" w:lineRule="auto"/>
              <w:jc w:val="left"/>
              <w:rPr>
                <w:rFonts w:cs="Times New Roman"/>
                <w:b/>
                <w:bCs/>
                <w:lang w:val="es-EC"/>
              </w:rPr>
            </w:pPr>
            <w:r w:rsidRPr="00EB2107">
              <w:rPr>
                <w:rFonts w:cs="Times New Roman"/>
                <w:b/>
                <w:bCs/>
                <w:lang w:val="es-EC"/>
              </w:rPr>
              <w:t>Datos Técnicos de Publicación Internacional</w:t>
            </w:r>
          </w:p>
        </w:tc>
      </w:tr>
      <w:tr w:rsidR="00A31614" w:rsidRPr="00077EBE" w14:paraId="60F5338F" w14:textId="77777777" w:rsidTr="00347BFE">
        <w:tc>
          <w:tcPr>
            <w:tcW w:w="8494" w:type="dxa"/>
          </w:tcPr>
          <w:p w14:paraId="01449219" w14:textId="1B05A287" w:rsidR="00A31614" w:rsidRPr="00EB2107" w:rsidRDefault="00A31614" w:rsidP="001460EF">
            <w:pPr>
              <w:spacing w:after="0" w:line="240" w:lineRule="auto"/>
              <w:rPr>
                <w:rFonts w:cs="Times New Roman"/>
                <w:b/>
                <w:bCs/>
                <w:lang w:val="es-EC"/>
              </w:rPr>
            </w:pPr>
            <w:r w:rsidRPr="00EB2107">
              <w:rPr>
                <w:rFonts w:cs="Times New Roman"/>
                <w:b/>
                <w:bCs/>
                <w:lang w:val="es-EC"/>
              </w:rPr>
              <w:t>Título:</w:t>
            </w:r>
            <w:r w:rsidRPr="00EB2107">
              <w:rPr>
                <w:rFonts w:cs="Times New Roman"/>
                <w:lang w:val="es-EC"/>
              </w:rPr>
              <w:t xml:space="preserve"> </w:t>
            </w:r>
            <w:r w:rsidR="00AD2CC1" w:rsidRPr="00AD2CC1">
              <w:rPr>
                <w:rFonts w:cs="Times New Roman"/>
              </w:rPr>
              <w:t>Inteligencia artificial en la educación superior</w:t>
            </w:r>
          </w:p>
          <w:p w14:paraId="3EA581A7" w14:textId="557D5459" w:rsidR="00A31614" w:rsidRPr="00EB2107" w:rsidRDefault="00A31614" w:rsidP="001460EF">
            <w:pPr>
              <w:spacing w:after="0" w:line="240" w:lineRule="auto"/>
              <w:jc w:val="left"/>
              <w:rPr>
                <w:rFonts w:cs="Times New Roman"/>
                <w:lang w:val="es-EC"/>
              </w:rPr>
            </w:pPr>
            <w:r w:rsidRPr="00EB2107">
              <w:rPr>
                <w:rFonts w:cs="Times New Roman"/>
                <w:b/>
                <w:bCs/>
                <w:lang w:val="es-EC"/>
              </w:rPr>
              <w:t xml:space="preserve">Subtítulo: </w:t>
            </w:r>
            <w:r w:rsidR="00A61889" w:rsidRPr="00A61889">
              <w:rPr>
                <w:rFonts w:cs="Times New Roman"/>
              </w:rPr>
              <w:t>Oportunidades, riesgos y perspectivas</w:t>
            </w:r>
          </w:p>
          <w:p w14:paraId="6E6BC2D3" w14:textId="51089254" w:rsidR="00A31614" w:rsidRPr="00DF6D0A" w:rsidRDefault="00A31614" w:rsidP="001460EF">
            <w:pPr>
              <w:spacing w:after="0" w:line="240" w:lineRule="auto"/>
              <w:jc w:val="left"/>
              <w:rPr>
                <w:rFonts w:cs="Times New Roman"/>
                <w:lang w:val="es-MX"/>
              </w:rPr>
            </w:pPr>
            <w:r w:rsidRPr="00DF6D0A">
              <w:rPr>
                <w:rFonts w:cs="Times New Roman"/>
                <w:b/>
                <w:bCs/>
                <w:lang w:val="es-MX"/>
              </w:rPr>
              <w:t xml:space="preserve">Autores: </w:t>
            </w:r>
            <w:r w:rsidR="00077EBE" w:rsidRPr="001D1F56">
              <w:rPr>
                <w:rFonts w:cs="Times New Roman"/>
                <w:lang w:val="es-MX"/>
              </w:rPr>
              <w:t>Falconi Ayón, P. M.</w:t>
            </w:r>
            <w:r w:rsidR="00DF6D0A" w:rsidRPr="001D1F56">
              <w:rPr>
                <w:rFonts w:cs="Times New Roman"/>
                <w:lang w:val="es-MX"/>
              </w:rPr>
              <w:t>;</w:t>
            </w:r>
            <w:r w:rsidR="00077EBE" w:rsidRPr="001D1F56">
              <w:rPr>
                <w:rFonts w:cs="Times New Roman"/>
                <w:lang w:val="es-MX"/>
              </w:rPr>
              <w:t xml:space="preserve"> </w:t>
            </w:r>
            <w:r w:rsidR="00DF6D0A" w:rsidRPr="001D1F56">
              <w:rPr>
                <w:rFonts w:cs="Times New Roman"/>
                <w:lang w:val="es-MX"/>
              </w:rPr>
              <w:t xml:space="preserve">Román Lainez, F. R.; </w:t>
            </w:r>
            <w:r w:rsidR="00F2111C" w:rsidRPr="001D1F56">
              <w:rPr>
                <w:rFonts w:cs="Times New Roman"/>
                <w:lang w:val="es-MX"/>
              </w:rPr>
              <w:t>Calizaya Ramos, Y.; Chango Muñoz, B. R.; Lázaro Guillermo, J. C</w:t>
            </w:r>
            <w:r w:rsidR="001D1F56" w:rsidRPr="001D1F56">
              <w:rPr>
                <w:rFonts w:cs="Times New Roman"/>
                <w:lang w:val="es-MX"/>
              </w:rPr>
              <w:t>.</w:t>
            </w:r>
          </w:p>
          <w:p w14:paraId="371E182E"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Diseño y producción editorial:</w:t>
            </w:r>
            <w:r w:rsidRPr="00EB2107">
              <w:rPr>
                <w:rFonts w:cs="Times New Roman"/>
                <w:lang w:val="es-EC"/>
              </w:rPr>
              <w:t xml:space="preserve"> Durán Sánchez,</w:t>
            </w:r>
            <w:r w:rsidRPr="00EB2107">
              <w:rPr>
                <w:rFonts w:cs="Times New Roman"/>
                <w:sz w:val="18"/>
                <w:szCs w:val="18"/>
                <w:lang w:val="es-EC"/>
              </w:rPr>
              <w:t xml:space="preserve"> </w:t>
            </w:r>
            <w:r w:rsidRPr="00EB2107">
              <w:rPr>
                <w:rFonts w:cs="Times New Roman"/>
                <w:lang w:val="es-EC"/>
              </w:rPr>
              <w:t>Stephany</w:t>
            </w:r>
          </w:p>
          <w:p w14:paraId="18927C8C"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Editor:</w:t>
            </w:r>
            <w:r w:rsidRPr="00EB2107">
              <w:rPr>
                <w:rFonts w:cs="Times New Roman"/>
                <w:lang w:val="es-EC"/>
              </w:rPr>
              <w:t xml:space="preserve"> Barco Acosta, Jonathan </w:t>
            </w:r>
          </w:p>
          <w:p w14:paraId="46C0C68C"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Formato:</w:t>
            </w:r>
            <w:r w:rsidRPr="00EB2107">
              <w:rPr>
                <w:rFonts w:cs="Times New Roman"/>
                <w:lang w:val="es-EC"/>
              </w:rPr>
              <w:t xml:space="preserve"> PDF </w:t>
            </w:r>
          </w:p>
          <w:p w14:paraId="6C8DD1D5"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Páginas:</w:t>
            </w:r>
            <w:r w:rsidRPr="00EB2107">
              <w:rPr>
                <w:rFonts w:cs="Times New Roman"/>
                <w:lang w:val="es-EC"/>
              </w:rPr>
              <w:t xml:space="preserve"> </w:t>
            </w:r>
          </w:p>
          <w:p w14:paraId="17B7C494"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Tamaño:</w:t>
            </w:r>
            <w:r w:rsidRPr="00EB2107">
              <w:rPr>
                <w:rFonts w:cs="Times New Roman"/>
                <w:lang w:val="es-EC"/>
              </w:rPr>
              <w:t xml:space="preserve"> A4 21x29.7cm</w:t>
            </w:r>
          </w:p>
          <w:p w14:paraId="7FFD2054" w14:textId="77777777" w:rsidR="00A31614" w:rsidRPr="00EB2107" w:rsidRDefault="00A31614" w:rsidP="001460EF">
            <w:pPr>
              <w:spacing w:after="0" w:line="240" w:lineRule="auto"/>
              <w:jc w:val="left"/>
              <w:rPr>
                <w:rFonts w:cs="Times New Roman"/>
                <w:lang w:val="es-EC"/>
              </w:rPr>
            </w:pPr>
            <w:r w:rsidRPr="00EB2107">
              <w:rPr>
                <w:rFonts w:cs="Times New Roman"/>
                <w:b/>
                <w:bCs/>
                <w:lang w:val="es-EC"/>
              </w:rPr>
              <w:t>Modo de acceso:</w:t>
            </w:r>
            <w:r w:rsidRPr="00EB2107">
              <w:rPr>
                <w:rFonts w:cs="Times New Roman"/>
                <w:lang w:val="es-EC"/>
              </w:rPr>
              <w:t xml:space="preserve"> </w:t>
            </w:r>
            <w:r w:rsidRPr="00A33C18">
              <w:rPr>
                <w:rFonts w:cs="Times New Roman"/>
              </w:rPr>
              <w:t>Recurso digital disponible en línea</w:t>
            </w:r>
          </w:p>
          <w:p w14:paraId="2CCE2A0E" w14:textId="77777777" w:rsidR="00A31614" w:rsidRPr="00AD3207" w:rsidRDefault="00A31614" w:rsidP="001460EF">
            <w:pPr>
              <w:spacing w:after="0" w:line="240" w:lineRule="auto"/>
              <w:jc w:val="left"/>
              <w:rPr>
                <w:rFonts w:cs="Times New Roman"/>
                <w:lang w:val="pt-PT"/>
              </w:rPr>
            </w:pPr>
            <w:r w:rsidRPr="00AD3207">
              <w:rPr>
                <w:rFonts w:cs="Times New Roman"/>
                <w:b/>
                <w:bCs/>
                <w:lang w:val="pt-PT"/>
              </w:rPr>
              <w:t>ISBN:</w:t>
            </w:r>
            <w:r w:rsidRPr="00AD3207">
              <w:rPr>
                <w:rFonts w:cs="Times New Roman"/>
                <w:lang w:val="pt-PT"/>
              </w:rPr>
              <w:t xml:space="preserve"> </w:t>
            </w:r>
          </w:p>
          <w:p w14:paraId="32B1606A" w14:textId="37F51EF1" w:rsidR="00A31614" w:rsidRPr="006F415A" w:rsidRDefault="00A31614" w:rsidP="001460EF">
            <w:pPr>
              <w:spacing w:after="0" w:line="240" w:lineRule="auto"/>
              <w:jc w:val="left"/>
              <w:rPr>
                <w:lang w:val="pt-PT"/>
              </w:rPr>
            </w:pPr>
            <w:r w:rsidRPr="00AD3207">
              <w:rPr>
                <w:rFonts w:cs="Times New Roman"/>
                <w:b/>
                <w:bCs/>
                <w:lang w:val="pt-PT"/>
              </w:rPr>
              <w:t>DOI:</w:t>
            </w:r>
            <w:r w:rsidR="000F69D9" w:rsidRPr="00B1656B">
              <w:rPr>
                <w:lang w:val="pt-PT"/>
              </w:rPr>
              <w:t xml:space="preserve"> </w:t>
            </w:r>
            <w:hyperlink r:id="rId9" w:history="1">
              <w:r w:rsidR="008C3970" w:rsidRPr="00D54850">
                <w:rPr>
                  <w:rStyle w:val="Hipervnculo"/>
                  <w:lang w:val="pt-PT"/>
                </w:rPr>
                <w:t>https://doi.org/10.66646/educa-plus/09sep2608</w:t>
              </w:r>
            </w:hyperlink>
            <w:r w:rsidR="000F69D9" w:rsidRPr="00B1656B">
              <w:rPr>
                <w:lang w:val="pt-PT"/>
              </w:rPr>
              <w:t xml:space="preserve"> </w:t>
            </w:r>
            <w:r w:rsidR="000F69D9" w:rsidRPr="006F415A">
              <w:rPr>
                <w:lang w:val="pt-PT"/>
              </w:rPr>
              <w:t xml:space="preserve"> </w:t>
            </w:r>
          </w:p>
          <w:p w14:paraId="7C303885" w14:textId="4C77C8FC" w:rsidR="00BD413C" w:rsidRPr="00AD3207" w:rsidRDefault="00BD413C" w:rsidP="001460EF">
            <w:pPr>
              <w:spacing w:after="0" w:line="240" w:lineRule="auto"/>
              <w:jc w:val="left"/>
              <w:rPr>
                <w:rFonts w:cs="Times New Roman"/>
                <w:b/>
                <w:bCs/>
                <w:lang w:val="pt-PT"/>
              </w:rPr>
            </w:pPr>
            <w:r w:rsidRPr="00BD413C">
              <w:rPr>
                <w:rFonts w:cs="Times New Roman"/>
                <w:b/>
                <w:bCs/>
              </w:rPr>
              <w:t>Prefijo Editorial ISBN</w:t>
            </w:r>
            <w:r w:rsidRPr="006F415A">
              <w:rPr>
                <w:rFonts w:cs="Times New Roman"/>
              </w:rPr>
              <w:t>: 978-9907-9571</w:t>
            </w:r>
          </w:p>
        </w:tc>
      </w:tr>
    </w:tbl>
    <w:p w14:paraId="39C7EEDC" w14:textId="77777777" w:rsidR="00A31614" w:rsidRPr="00AD3207" w:rsidRDefault="00A31614" w:rsidP="00A31614">
      <w:pPr>
        <w:spacing w:after="160" w:line="278" w:lineRule="auto"/>
        <w:jc w:val="left"/>
        <w:rPr>
          <w:rFonts w:cs="Times New Roman"/>
          <w:lang w:val="pt-PT"/>
        </w:rPr>
      </w:pPr>
    </w:p>
    <w:p w14:paraId="462335B4" w14:textId="77777777" w:rsidR="00A31614" w:rsidRPr="00EB2107" w:rsidRDefault="00A31614" w:rsidP="00A31614">
      <w:pPr>
        <w:spacing w:after="160" w:line="278" w:lineRule="auto"/>
        <w:jc w:val="left"/>
        <w:rPr>
          <w:rFonts w:cs="Times New Roman"/>
          <w:lang w:val="es-EC"/>
        </w:rPr>
      </w:pPr>
      <w:r w:rsidRPr="005E1D63">
        <w:rPr>
          <w:rFonts w:cs="Times New Roman"/>
        </w:rPr>
        <w:t>Este libro fue sometido a arbitraje académico bajo el sistema de evaluación por pares doble ciego (</w:t>
      </w:r>
      <w:proofErr w:type="spellStart"/>
      <w:r w:rsidRPr="005E1D63">
        <w:rPr>
          <w:rFonts w:cs="Times New Roman"/>
          <w:i/>
          <w:iCs/>
        </w:rPr>
        <w:t>double-blind</w:t>
      </w:r>
      <w:proofErr w:type="spellEnd"/>
      <w:r w:rsidRPr="005E1D63">
        <w:rPr>
          <w:rFonts w:cs="Times New Roman"/>
          <w:i/>
          <w:iCs/>
        </w:rPr>
        <w:t xml:space="preserve"> peer </w:t>
      </w:r>
      <w:proofErr w:type="spellStart"/>
      <w:r w:rsidRPr="005E1D63">
        <w:rPr>
          <w:rFonts w:cs="Times New Roman"/>
          <w:i/>
          <w:iCs/>
        </w:rPr>
        <w:t>review</w:t>
      </w:r>
      <w:proofErr w:type="spellEnd"/>
      <w:r w:rsidRPr="005E1D63">
        <w:rPr>
          <w:rFonts w:cs="Times New Roman"/>
        </w:rPr>
        <w:t>).</w:t>
      </w:r>
    </w:p>
    <w:p w14:paraId="4FD014AE" w14:textId="77777777" w:rsidR="00A31614" w:rsidRPr="00EB2107" w:rsidRDefault="00A31614" w:rsidP="00A31614">
      <w:pPr>
        <w:spacing w:after="160" w:line="276" w:lineRule="auto"/>
        <w:rPr>
          <w:rFonts w:cs="Times New Roman"/>
          <w:lang w:val="es-EC"/>
        </w:rPr>
      </w:pPr>
      <w:r w:rsidRPr="00EB2107">
        <w:rPr>
          <w:rFonts w:cs="Times New Roman"/>
          <w:b/>
          <w:bCs/>
          <w:lang w:val="es-EC"/>
        </w:rPr>
        <w:t>Disponible para su descarga gratuita en</w:t>
      </w:r>
      <w:r w:rsidRPr="00EB2107">
        <w:rPr>
          <w:rFonts w:cs="Times New Roman"/>
          <w:lang w:val="es-EC"/>
        </w:rPr>
        <w:t xml:space="preserve"> </w:t>
      </w:r>
      <w:hyperlink r:id="rId10" w:history="1">
        <w:r w:rsidRPr="00EB2107">
          <w:rPr>
            <w:rStyle w:val="Hipervnculo"/>
            <w:rFonts w:cs="Times New Roman"/>
            <w:lang w:val="es-EC"/>
          </w:rPr>
          <w:t>https://biblioteca.redsa.ec/</w:t>
        </w:r>
      </w:hyperlink>
      <w:r w:rsidRPr="00EB2107">
        <w:rPr>
          <w:rFonts w:cs="Times New Roman"/>
          <w:lang w:val="es-EC"/>
        </w:rPr>
        <w:t xml:space="preserve"> </w:t>
      </w:r>
    </w:p>
    <w:p w14:paraId="7CB62C53" w14:textId="77777777" w:rsidR="00A31614" w:rsidRPr="00EB2107" w:rsidRDefault="00A31614" w:rsidP="00A31614">
      <w:pPr>
        <w:spacing w:after="160" w:line="278" w:lineRule="auto"/>
        <w:jc w:val="left"/>
        <w:rPr>
          <w:rFonts w:cs="Times New Roman"/>
          <w:lang w:val="es-EC"/>
        </w:rPr>
      </w:pPr>
      <w:r w:rsidRPr="00EB2107">
        <w:rPr>
          <w:rFonts w:cs="Times New Roman"/>
          <w:noProof/>
          <w:lang w:val="es-EC"/>
        </w:rPr>
        <w:drawing>
          <wp:anchor distT="0" distB="0" distL="114300" distR="114300" simplePos="0" relativeHeight="251662336" behindDoc="0" locked="0" layoutInCell="1" allowOverlap="1" wp14:anchorId="12F54264" wp14:editId="292E2263">
            <wp:simplePos x="0" y="0"/>
            <wp:positionH relativeFrom="column">
              <wp:posOffset>4344247</wp:posOffset>
            </wp:positionH>
            <wp:positionV relativeFrom="paragraph">
              <wp:posOffset>289137</wp:posOffset>
            </wp:positionV>
            <wp:extent cx="1080000" cy="635497"/>
            <wp:effectExtent l="0" t="0" r="6350" b="0"/>
            <wp:wrapSquare wrapText="bothSides"/>
            <wp:docPr id="2054971925" name="Imagen 6" descr="Editorial | Revista FAUD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itorial | Revista FAUD abiert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53" t="13275" r="7091" b="19161"/>
                    <a:stretch>
                      <a:fillRect/>
                    </a:stretch>
                  </pic:blipFill>
                  <pic:spPr bwMode="auto">
                    <a:xfrm>
                      <a:off x="0" y="0"/>
                      <a:ext cx="1080000" cy="6354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CF798A" w14:textId="77777777" w:rsidR="00A31614" w:rsidRPr="00EB2107" w:rsidRDefault="00A31614" w:rsidP="00A31614">
      <w:pPr>
        <w:spacing w:after="160" w:line="278" w:lineRule="auto"/>
        <w:jc w:val="left"/>
        <w:rPr>
          <w:rFonts w:cs="Times New Roman"/>
          <w:lang w:val="es-EC"/>
        </w:rPr>
      </w:pPr>
      <w:r w:rsidRPr="00EB2107">
        <w:rPr>
          <w:rFonts w:cs="Times New Roman"/>
          <w:noProof/>
          <w:lang w:val="es-EC"/>
        </w:rPr>
        <w:drawing>
          <wp:anchor distT="0" distB="0" distL="114300" distR="114300" simplePos="0" relativeHeight="251663360" behindDoc="1" locked="0" layoutInCell="1" allowOverlap="1" wp14:anchorId="44A1F4E7" wp14:editId="143D274D">
            <wp:simplePos x="0" y="0"/>
            <wp:positionH relativeFrom="column">
              <wp:posOffset>2968202</wp:posOffset>
            </wp:positionH>
            <wp:positionV relativeFrom="paragraph">
              <wp:posOffset>165947</wp:posOffset>
            </wp:positionV>
            <wp:extent cx="1080000" cy="386625"/>
            <wp:effectExtent l="0" t="0" r="6350" b="0"/>
            <wp:wrapSquare wrapText="bothSides"/>
            <wp:docPr id="14602226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0000" cy="38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2107">
        <w:rPr>
          <w:rFonts w:cs="Times New Roman"/>
          <w:noProof/>
          <w:lang w:val="es-EC"/>
        </w:rPr>
        <w:drawing>
          <wp:anchor distT="0" distB="0" distL="114300" distR="114300" simplePos="0" relativeHeight="251661312" behindDoc="0" locked="0" layoutInCell="1" allowOverlap="1" wp14:anchorId="09195F3C" wp14:editId="2D67455C">
            <wp:simplePos x="0" y="0"/>
            <wp:positionH relativeFrom="column">
              <wp:posOffset>1489075</wp:posOffset>
            </wp:positionH>
            <wp:positionV relativeFrom="paragraph">
              <wp:posOffset>158750</wp:posOffset>
            </wp:positionV>
            <wp:extent cx="1079500" cy="419735"/>
            <wp:effectExtent l="0" t="0" r="6350" b="0"/>
            <wp:wrapSquare wrapText="bothSides"/>
            <wp:docPr id="346180225" name="Imagen 5" descr="ISBN | Cámara Ecuatoriana del Libro – Núcleo Pichin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BN | Cámara Ecuatoriana del Libro – Núcleo Pichinch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95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2107">
        <w:rPr>
          <w:rFonts w:cs="Times New Roman"/>
          <w:noProof/>
          <w:lang w:val="es-EC"/>
        </w:rPr>
        <w:drawing>
          <wp:anchor distT="0" distB="0" distL="114300" distR="114300" simplePos="0" relativeHeight="251660288" behindDoc="0" locked="0" layoutInCell="1" allowOverlap="1" wp14:anchorId="6DDC959D" wp14:editId="426494E8">
            <wp:simplePos x="0" y="0"/>
            <wp:positionH relativeFrom="column">
              <wp:posOffset>5715</wp:posOffset>
            </wp:positionH>
            <wp:positionV relativeFrom="paragraph">
              <wp:posOffset>210185</wp:posOffset>
            </wp:positionV>
            <wp:extent cx="1079500" cy="365125"/>
            <wp:effectExtent l="0" t="0" r="6350" b="0"/>
            <wp:wrapSquare wrapText="bothSides"/>
            <wp:docPr id="818568082" name="Imagen 4" descr="Information For Librarians | Revista Internacional de Pedagogía de la  Actividad Física y Dep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rmation For Librarians | Revista Internacional de Pedagogía de la  Actividad Física y Depor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9500" cy="36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69A0A" w14:textId="77777777" w:rsidR="00A31614" w:rsidRPr="00EB2107" w:rsidRDefault="00A31614" w:rsidP="00A31614">
      <w:pPr>
        <w:spacing w:after="160" w:line="278" w:lineRule="auto"/>
        <w:jc w:val="left"/>
        <w:rPr>
          <w:rFonts w:cs="Times New Roman"/>
          <w:lang w:val="es-EC"/>
        </w:rPr>
      </w:pPr>
    </w:p>
    <w:p w14:paraId="56007C06" w14:textId="77777777" w:rsidR="00A31614" w:rsidRPr="00EB2107" w:rsidRDefault="00A31614" w:rsidP="00A31614">
      <w:pPr>
        <w:spacing w:after="160" w:line="278" w:lineRule="auto"/>
        <w:jc w:val="center"/>
        <w:rPr>
          <w:rFonts w:cs="Times New Roman"/>
          <w:lang w:val="es-EC"/>
        </w:rPr>
      </w:pPr>
      <w:r w:rsidRPr="00EB2107">
        <w:rPr>
          <w:rFonts w:cs="Times New Roman"/>
          <w:noProof/>
          <w:lang w:val="es-EC"/>
          <w14:ligatures w14:val="standardContextual"/>
        </w:rPr>
        <w:lastRenderedPageBreak/>
        <w:drawing>
          <wp:inline distT="0" distB="0" distL="0" distR="0" wp14:anchorId="27B15F46" wp14:editId="5AA0D5D9">
            <wp:extent cx="2880000" cy="985630"/>
            <wp:effectExtent l="0" t="0" r="0" b="0"/>
            <wp:docPr id="10032463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39284" name="Imagen 2100939284"/>
                    <pic:cNvPicPr/>
                  </pic:nvPicPr>
                  <pic:blipFill rotWithShape="1">
                    <a:blip r:embed="rId6" cstate="print">
                      <a:extLst>
                        <a:ext uri="{28A0092B-C50C-407E-A947-70E740481C1C}">
                          <a14:useLocalDpi xmlns:a14="http://schemas.microsoft.com/office/drawing/2010/main" val="0"/>
                        </a:ext>
                      </a:extLst>
                    </a:blip>
                    <a:srcRect t="33010" b="32767"/>
                    <a:stretch>
                      <a:fillRect/>
                    </a:stretch>
                  </pic:blipFill>
                  <pic:spPr bwMode="auto">
                    <a:xfrm>
                      <a:off x="0" y="0"/>
                      <a:ext cx="2880000" cy="985630"/>
                    </a:xfrm>
                    <a:prstGeom prst="rect">
                      <a:avLst/>
                    </a:prstGeom>
                    <a:ln>
                      <a:noFill/>
                    </a:ln>
                    <a:extLst>
                      <a:ext uri="{53640926-AAD7-44D8-BBD7-CCE9431645EC}">
                        <a14:shadowObscured xmlns:a14="http://schemas.microsoft.com/office/drawing/2010/main"/>
                      </a:ext>
                    </a:extLst>
                  </pic:spPr>
                </pic:pic>
              </a:graphicData>
            </a:graphic>
          </wp:inline>
        </w:drawing>
      </w:r>
    </w:p>
    <w:p w14:paraId="6BA2DEE6" w14:textId="77777777" w:rsidR="00A31614" w:rsidRPr="004871EB" w:rsidRDefault="00A31614" w:rsidP="00A31614">
      <w:pPr>
        <w:spacing w:after="160" w:line="276" w:lineRule="auto"/>
        <w:rPr>
          <w:rFonts w:cs="Times New Roman"/>
          <w:lang w:val="es-MX"/>
        </w:rPr>
      </w:pPr>
      <w:r w:rsidRPr="004871EB">
        <w:rPr>
          <w:rFonts w:cs="Times New Roman"/>
          <w:lang w:val="es-MX"/>
        </w:rPr>
        <w:t>Los contenidos de este libro pueden ser descargados, reproducidos, difundidos e impresos con fines de estudio, investigación y docencia, o para su utilización en productos o servicios no comerciales, siempre que se reconozca adecuadamente a los autores como fuente y titulares de los derechos de propiedad intelectual, sin que ello implique que aprueban las opiniones, productos o servicios resultantes.</w:t>
      </w:r>
    </w:p>
    <w:p w14:paraId="624E0CE5" w14:textId="77777777" w:rsidR="00A31614" w:rsidRPr="004871EB" w:rsidRDefault="00A31614" w:rsidP="00A31614">
      <w:pPr>
        <w:spacing w:after="160" w:line="276" w:lineRule="auto"/>
        <w:rPr>
          <w:rFonts w:cs="Times New Roman"/>
          <w:lang w:val="es-MX"/>
        </w:rPr>
      </w:pPr>
      <w:r w:rsidRPr="004871EB">
        <w:rPr>
          <w:rFonts w:cs="Times New Roman"/>
          <w:lang w:val="es-MX"/>
        </w:rPr>
        <w:t>En el caso de contenidos que indiquen expresamente que proceden de terceros, deberán dirigirse a la fuente original indicada para gestionar los permisos correspondientes.</w:t>
      </w:r>
    </w:p>
    <w:p w14:paraId="6751AA65" w14:textId="77777777" w:rsidR="00A31614" w:rsidRPr="00EB2107" w:rsidRDefault="00A31614" w:rsidP="00A31614">
      <w:pPr>
        <w:spacing w:after="160" w:line="278" w:lineRule="auto"/>
        <w:jc w:val="left"/>
        <w:rPr>
          <w:rFonts w:cs="Times New Roman"/>
          <w:b/>
          <w:bCs/>
          <w:lang w:val="es-EC"/>
        </w:rPr>
      </w:pPr>
      <w:r w:rsidRPr="0089017F">
        <w:rPr>
          <w:rFonts w:cs="Times New Roman"/>
          <w:b/>
          <w:bCs/>
        </w:rPr>
        <w:t>Cómo citar esta obra en APA 7.ª edición</w:t>
      </w:r>
    </w:p>
    <w:p w14:paraId="4302D289" w14:textId="5689813A" w:rsidR="00A31614" w:rsidRPr="00EB2107" w:rsidRDefault="000F69D9" w:rsidP="003B50E6">
      <w:pPr>
        <w:spacing w:after="160" w:line="278" w:lineRule="auto"/>
        <w:jc w:val="left"/>
        <w:rPr>
          <w:rFonts w:cs="Times New Roman"/>
          <w:lang w:val="es-EC"/>
        </w:rPr>
      </w:pPr>
      <w:r w:rsidRPr="001D1F56">
        <w:rPr>
          <w:rFonts w:cs="Times New Roman"/>
          <w:lang w:val="es-MX"/>
        </w:rPr>
        <w:t>Falconi Ayón, P. M.; Román Lainez, F. R.; Calizaya Ramos, Y.; Chango Muñoz, B. R.; Lázaro Guillermo, J. C.</w:t>
      </w:r>
      <w:r w:rsidR="00A31614" w:rsidRPr="004871EB">
        <w:rPr>
          <w:rFonts w:cs="Times New Roman"/>
        </w:rPr>
        <w:t xml:space="preserve"> </w:t>
      </w:r>
      <w:r w:rsidR="003B50E6" w:rsidRPr="003B50E6">
        <w:rPr>
          <w:rFonts w:cs="Times New Roman"/>
          <w:i/>
          <w:iCs/>
        </w:rPr>
        <w:t>Inteligencia artificial en la educación superior latinoamericana: Oportunidades, riesgos y perspectivas</w:t>
      </w:r>
      <w:r w:rsidR="00A31614" w:rsidRPr="004871EB">
        <w:rPr>
          <w:rFonts w:cs="Times New Roman"/>
        </w:rPr>
        <w:t xml:space="preserve">. Educa Plus Editorial Académica. </w:t>
      </w:r>
      <w:hyperlink r:id="rId15" w:history="1">
        <w:r w:rsidR="008C3970" w:rsidRPr="00435CE4">
          <w:rPr>
            <w:rStyle w:val="Hipervnculo"/>
            <w:lang w:val="es-MX"/>
          </w:rPr>
          <w:t>https://doi.org/10.66646/educa-plus/09sep2608</w:t>
        </w:r>
      </w:hyperlink>
      <w:r w:rsidR="008C3970" w:rsidRPr="00435CE4">
        <w:rPr>
          <w:lang w:val="es-MX"/>
        </w:rPr>
        <w:t xml:space="preserve">  </w:t>
      </w:r>
    </w:p>
    <w:p w14:paraId="5E53B68C" w14:textId="77777777" w:rsidR="00A31614" w:rsidRPr="00EB2107" w:rsidRDefault="00A31614" w:rsidP="00A31614">
      <w:pPr>
        <w:spacing w:after="160" w:line="278" w:lineRule="auto"/>
        <w:rPr>
          <w:rFonts w:cs="Times New Roman"/>
          <w:lang w:val="es-EC"/>
        </w:rPr>
      </w:pPr>
      <w:r w:rsidRPr="00EB2107">
        <w:rPr>
          <w:rFonts w:cs="Times New Roman"/>
          <w:b/>
          <w:bCs/>
          <w:lang w:val="es-EC"/>
        </w:rPr>
        <w:t>Proceso Editorial:</w:t>
      </w:r>
    </w:p>
    <w:p w14:paraId="4C8EFE76" w14:textId="77777777" w:rsidR="00A31614" w:rsidRPr="00EB2107" w:rsidRDefault="00A31614" w:rsidP="00A31614">
      <w:pPr>
        <w:spacing w:after="160" w:line="278" w:lineRule="auto"/>
        <w:rPr>
          <w:rFonts w:cs="Times New Roman"/>
          <w:lang w:val="es-EC"/>
        </w:rPr>
      </w:pPr>
      <w:r w:rsidRPr="0089017F">
        <w:rPr>
          <w:rFonts w:cs="Times New Roman"/>
        </w:rPr>
        <w:t xml:space="preserve">Cada uno de los textos publicados por </w:t>
      </w:r>
      <w:r w:rsidRPr="0089017F">
        <w:rPr>
          <w:rFonts w:cs="Times New Roman"/>
          <w:b/>
          <w:bCs/>
        </w:rPr>
        <w:t>Educa Plus Editorial Académica</w:t>
      </w:r>
      <w:r w:rsidRPr="0089017F">
        <w:rPr>
          <w:rFonts w:cs="Times New Roman"/>
        </w:rPr>
        <w:t xml:space="preserve"> ha sido sometido a un proceso de evaluación académica por pares doble ciego externos (</w:t>
      </w:r>
      <w:proofErr w:type="spellStart"/>
      <w:r w:rsidRPr="0089017F">
        <w:rPr>
          <w:rFonts w:cs="Times New Roman"/>
          <w:i/>
          <w:iCs/>
        </w:rPr>
        <w:t>double-blind</w:t>
      </w:r>
      <w:proofErr w:type="spellEnd"/>
      <w:r w:rsidRPr="0089017F">
        <w:rPr>
          <w:rFonts w:cs="Times New Roman"/>
          <w:i/>
          <w:iCs/>
        </w:rPr>
        <w:t xml:space="preserve"> peer </w:t>
      </w:r>
      <w:proofErr w:type="spellStart"/>
      <w:r w:rsidRPr="0089017F">
        <w:rPr>
          <w:rFonts w:cs="Times New Roman"/>
          <w:i/>
          <w:iCs/>
        </w:rPr>
        <w:t>review</w:t>
      </w:r>
      <w:proofErr w:type="spellEnd"/>
      <w:r w:rsidRPr="0089017F">
        <w:rPr>
          <w:rFonts w:cs="Times New Roman"/>
        </w:rPr>
        <w:t>), conforme a los estándares editoriales internacionales y a la normativa interna de la editorial.</w:t>
      </w:r>
    </w:p>
    <w:p w14:paraId="24C4DA66" w14:textId="77777777" w:rsidR="00A31614" w:rsidRPr="00EB2107" w:rsidRDefault="00A31614" w:rsidP="00A31614">
      <w:pPr>
        <w:spacing w:after="160" w:line="278" w:lineRule="auto"/>
        <w:rPr>
          <w:rFonts w:cs="Times New Roman"/>
          <w:lang w:val="es-EC"/>
        </w:rPr>
      </w:pPr>
      <w:r w:rsidRPr="00EB2107">
        <w:rPr>
          <w:rFonts w:cs="Times New Roman"/>
          <w:b/>
          <w:bCs/>
          <w:lang w:val="es-EC"/>
        </w:rPr>
        <w:t>Aviso Legal:</w:t>
      </w:r>
    </w:p>
    <w:p w14:paraId="2EFB3341" w14:textId="77777777" w:rsidR="00A31614" w:rsidRPr="0089017F" w:rsidRDefault="00A31614" w:rsidP="00A31614">
      <w:pPr>
        <w:spacing w:after="160" w:line="278" w:lineRule="auto"/>
        <w:rPr>
          <w:rFonts w:cs="Times New Roman"/>
          <w:lang w:val="es-MX"/>
        </w:rPr>
      </w:pPr>
      <w:r w:rsidRPr="0089017F">
        <w:rPr>
          <w:rFonts w:cs="Times New Roman"/>
          <w:lang w:val="es-MX"/>
        </w:rPr>
        <w:t xml:space="preserve">La información presentada, así como el contenido, fotografías, gráficos, cuadros, tablas y referencias de este manuscrito, es de exclusiva responsabilidad de los autores y no refleja necesariamente el pensamiento ni la posición institucional de </w:t>
      </w:r>
      <w:r w:rsidRPr="0089017F">
        <w:rPr>
          <w:rFonts w:cs="Times New Roman"/>
          <w:b/>
          <w:bCs/>
          <w:lang w:val="es-MX"/>
        </w:rPr>
        <w:t>Educa Plus Editorial Académica</w:t>
      </w:r>
      <w:r w:rsidRPr="0089017F">
        <w:rPr>
          <w:rFonts w:cs="Times New Roman"/>
          <w:lang w:val="es-MX"/>
        </w:rPr>
        <w:t>.</w:t>
      </w:r>
    </w:p>
    <w:p w14:paraId="75EA00ED" w14:textId="77777777" w:rsidR="00A31614" w:rsidRPr="0089017F" w:rsidRDefault="00A31614" w:rsidP="00A31614">
      <w:pPr>
        <w:spacing w:after="160" w:line="278" w:lineRule="auto"/>
        <w:rPr>
          <w:rFonts w:cs="Times New Roman"/>
          <w:lang w:val="es-MX"/>
        </w:rPr>
      </w:pPr>
      <w:r w:rsidRPr="0089017F">
        <w:rPr>
          <w:rFonts w:cs="Times New Roman"/>
          <w:lang w:val="es-MX"/>
        </w:rPr>
        <w:t>Las opiniones expresadas en cada capítulo son responsabilidad exclusiva de sus respectivos autores.</w:t>
      </w:r>
    </w:p>
    <w:p w14:paraId="2D328CC5" w14:textId="77777777" w:rsidR="00A31614" w:rsidRPr="00EB2107" w:rsidRDefault="00A31614" w:rsidP="00A31614">
      <w:pPr>
        <w:spacing w:after="160" w:line="276" w:lineRule="auto"/>
        <w:rPr>
          <w:rFonts w:cs="Times New Roman"/>
          <w:lang w:val="es-EC"/>
        </w:rPr>
      </w:pPr>
      <w:r w:rsidRPr="00EB2107">
        <w:rPr>
          <w:rFonts w:cs="Times New Roman"/>
          <w:b/>
          <w:bCs/>
          <w:lang w:val="es-EC"/>
        </w:rPr>
        <w:t>Derechos de Autor ©</w:t>
      </w:r>
    </w:p>
    <w:p w14:paraId="074F2109" w14:textId="77777777" w:rsidR="00A31614" w:rsidRPr="0089017F" w:rsidRDefault="00A31614" w:rsidP="00A31614">
      <w:pPr>
        <w:spacing w:after="160" w:line="276" w:lineRule="auto"/>
        <w:jc w:val="left"/>
        <w:rPr>
          <w:rFonts w:cs="Times New Roman"/>
          <w:lang w:val="es-MX"/>
        </w:rPr>
      </w:pPr>
      <w:r w:rsidRPr="0089017F">
        <w:rPr>
          <w:rFonts w:cs="Times New Roman"/>
          <w:lang w:val="es-MX"/>
        </w:rPr>
        <w:t>Este documento se publica bajo los términos y condiciones de la licencia:</w:t>
      </w:r>
    </w:p>
    <w:p w14:paraId="01B303FB" w14:textId="77777777" w:rsidR="00A31614" w:rsidRPr="0089017F" w:rsidRDefault="00A31614" w:rsidP="00A31614">
      <w:pPr>
        <w:spacing w:after="160" w:line="276" w:lineRule="auto"/>
        <w:jc w:val="left"/>
        <w:rPr>
          <w:rFonts w:cs="Times New Roman"/>
          <w:lang w:val="es-MX"/>
        </w:rPr>
      </w:pPr>
      <w:r w:rsidRPr="0089017F">
        <w:rPr>
          <w:rFonts w:cs="Times New Roman"/>
          <w:b/>
          <w:bCs/>
          <w:lang w:val="es-MX"/>
        </w:rPr>
        <w:t>Creative Commons Atribución-</w:t>
      </w:r>
      <w:proofErr w:type="spellStart"/>
      <w:r w:rsidRPr="0089017F">
        <w:rPr>
          <w:rFonts w:cs="Times New Roman"/>
          <w:b/>
          <w:bCs/>
          <w:lang w:val="es-MX"/>
        </w:rPr>
        <w:t>NoComercial</w:t>
      </w:r>
      <w:proofErr w:type="spellEnd"/>
      <w:r w:rsidRPr="0089017F">
        <w:rPr>
          <w:rFonts w:cs="Times New Roman"/>
          <w:b/>
          <w:bCs/>
          <w:lang w:val="es-MX"/>
        </w:rPr>
        <w:t>-</w:t>
      </w:r>
      <w:proofErr w:type="spellStart"/>
      <w:r w:rsidRPr="0089017F">
        <w:rPr>
          <w:rFonts w:cs="Times New Roman"/>
          <w:b/>
          <w:bCs/>
          <w:lang w:val="es-MX"/>
        </w:rPr>
        <w:t>CompartirIgual</w:t>
      </w:r>
      <w:proofErr w:type="spellEnd"/>
      <w:r w:rsidRPr="0089017F">
        <w:rPr>
          <w:rFonts w:cs="Times New Roman"/>
          <w:b/>
          <w:bCs/>
          <w:lang w:val="es-MX"/>
        </w:rPr>
        <w:t xml:space="preserve"> 4.0 Internacional (CC BY-NC-SA 4.0)</w:t>
      </w:r>
    </w:p>
    <w:p w14:paraId="4BAC6004" w14:textId="77777777" w:rsidR="00A31614" w:rsidRPr="0089017F" w:rsidRDefault="00A31614" w:rsidP="00A31614">
      <w:pPr>
        <w:spacing w:after="160" w:line="276" w:lineRule="auto"/>
        <w:jc w:val="left"/>
        <w:rPr>
          <w:rFonts w:cs="Times New Roman"/>
          <w:lang w:val="es-MX"/>
        </w:rPr>
      </w:pPr>
      <w:r w:rsidRPr="0089017F">
        <w:rPr>
          <w:rFonts w:cs="Times New Roman"/>
          <w:lang w:val="es-MX"/>
        </w:rPr>
        <w:t>Usted es libre de compartir y adaptar el material, siempre que otorgue el crédito correspondiente, no lo utilice con fines comerciales y distribuya sus contribuciones bajo la misma licencia.</w:t>
      </w:r>
    </w:p>
    <w:p w14:paraId="2EEC5D43" w14:textId="724EA340" w:rsidR="00A31614" w:rsidRPr="0089017F" w:rsidRDefault="00A31614" w:rsidP="00A31614">
      <w:pPr>
        <w:spacing w:after="160" w:line="276" w:lineRule="auto"/>
        <w:jc w:val="left"/>
        <w:rPr>
          <w:rFonts w:cs="Times New Roman"/>
          <w:lang w:val="es-MX"/>
        </w:rPr>
      </w:pPr>
      <w:r w:rsidRPr="0089017F">
        <w:rPr>
          <w:rFonts w:cs="Times New Roman"/>
          <w:lang w:val="es-MX"/>
        </w:rPr>
        <w:t>Para ver una copia de esta licencia, visite:</w:t>
      </w:r>
      <w:r w:rsidRPr="0089017F">
        <w:rPr>
          <w:rFonts w:cs="Times New Roman"/>
          <w:lang w:val="es-MX"/>
        </w:rPr>
        <w:br/>
      </w:r>
      <w:hyperlink r:id="rId16" w:tgtFrame="_new" w:history="1">
        <w:r w:rsidRPr="0089017F">
          <w:rPr>
            <w:rStyle w:val="Hipervnculo"/>
            <w:rFonts w:cs="Times New Roman"/>
            <w:lang w:val="es-MX"/>
          </w:rPr>
          <w:t>https://creativecommons.org/licenses/by-nc-sa/4.0/deed.es</w:t>
        </w:r>
      </w:hyperlink>
    </w:p>
    <w:p w14:paraId="3CC29BB9" w14:textId="58BC7E88" w:rsidR="00A31614" w:rsidRPr="00EB2107" w:rsidRDefault="00A31614" w:rsidP="00A31614">
      <w:pPr>
        <w:tabs>
          <w:tab w:val="left" w:pos="6920"/>
        </w:tabs>
        <w:rPr>
          <w:lang w:val="es-EC"/>
        </w:rPr>
      </w:pPr>
    </w:p>
    <w:p w14:paraId="10DCCD85" w14:textId="524EFD80" w:rsidR="00A31614" w:rsidRPr="00EB2107" w:rsidRDefault="001460EF" w:rsidP="00A31614">
      <w:pPr>
        <w:tabs>
          <w:tab w:val="left" w:pos="6920"/>
        </w:tabs>
        <w:rPr>
          <w:lang w:val="es-EC"/>
        </w:rPr>
      </w:pPr>
      <w:r w:rsidRPr="00EB2107">
        <w:rPr>
          <w:noProof/>
          <w:lang w:val="es-EC"/>
        </w:rPr>
        <w:drawing>
          <wp:anchor distT="0" distB="0" distL="114300" distR="114300" simplePos="0" relativeHeight="251664384" behindDoc="0" locked="0" layoutInCell="1" allowOverlap="1" wp14:anchorId="6738C25E" wp14:editId="27EC2D3A">
            <wp:simplePos x="0" y="0"/>
            <wp:positionH relativeFrom="column">
              <wp:posOffset>1701165</wp:posOffset>
            </wp:positionH>
            <wp:positionV relativeFrom="paragraph">
              <wp:posOffset>-338455</wp:posOffset>
            </wp:positionV>
            <wp:extent cx="1783080" cy="624840"/>
            <wp:effectExtent l="0" t="0" r="7620" b="3810"/>
            <wp:wrapSquare wrapText="bothSides"/>
            <wp:docPr id="494547512" name="Imagen 8" descr="Creative Commons BY-NC-SA - Encyclopaedia He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ative Commons BY-NC-SA - Encyclopaedia Herd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3080" cy="62484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Times New Roman" w:eastAsia="Calibri" w:hAnsi="Times New Roman" w:cs="Calibri"/>
          <w:color w:val="000000" w:themeColor="text1"/>
          <w:sz w:val="22"/>
          <w:szCs w:val="22"/>
          <w:lang w:val="es-ES" w:eastAsia="es-ES"/>
        </w:rPr>
        <w:id w:val="149107740"/>
        <w:docPartObj>
          <w:docPartGallery w:val="Table of Contents"/>
          <w:docPartUnique/>
        </w:docPartObj>
      </w:sdtPr>
      <w:sdtEndPr>
        <w:rPr>
          <w:b/>
          <w:bCs/>
        </w:rPr>
      </w:sdtEndPr>
      <w:sdtContent>
        <w:p w14:paraId="16BCCFD3" w14:textId="5D5AEE38" w:rsidR="00DB1B3F" w:rsidRDefault="00DB1B3F">
          <w:pPr>
            <w:pStyle w:val="TtuloTDC"/>
          </w:pPr>
          <w:r>
            <w:rPr>
              <w:lang w:val="es-ES"/>
            </w:rPr>
            <w:t>Contenido</w:t>
          </w:r>
        </w:p>
        <w:p w14:paraId="76710251" w14:textId="6A6602A4" w:rsidR="007A71E1" w:rsidRDefault="00DB1B3F">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r>
            <w:fldChar w:fldCharType="begin"/>
          </w:r>
          <w:r>
            <w:instrText xml:space="preserve"> TOC \o "1-3" \h \z \u </w:instrText>
          </w:r>
          <w:r>
            <w:fldChar w:fldCharType="separate"/>
          </w:r>
          <w:hyperlink w:anchor="_Toc239440857" w:history="1">
            <w:r w:rsidR="007A71E1" w:rsidRPr="00384636">
              <w:rPr>
                <w:rStyle w:val="Hipervnculo"/>
                <w:noProof/>
              </w:rPr>
              <w:t>1.</w:t>
            </w:r>
            <w:r w:rsidR="007A71E1">
              <w:rPr>
                <w:rFonts w:asciiTheme="minorHAnsi" w:eastAsiaTheme="minorEastAsia" w:hAnsiTheme="minorHAnsi" w:cstheme="minorBidi"/>
                <w:noProof/>
                <w:kern w:val="2"/>
                <w:sz w:val="24"/>
                <w:szCs w:val="24"/>
                <w:lang w:val="es-MX" w:eastAsia="es-MX"/>
                <w14:ligatures w14:val="standardContextual"/>
              </w:rPr>
              <w:tab/>
            </w:r>
            <w:r w:rsidR="007A71E1" w:rsidRPr="00384636">
              <w:rPr>
                <w:rStyle w:val="Hipervnculo"/>
                <w:noProof/>
              </w:rPr>
              <w:t>Capítulo 1. Inteligencia artificial y transformación de la educación superior</w:t>
            </w:r>
            <w:r w:rsidR="007A71E1">
              <w:rPr>
                <w:noProof/>
                <w:webHidden/>
              </w:rPr>
              <w:tab/>
            </w:r>
            <w:r w:rsidR="007A71E1">
              <w:rPr>
                <w:noProof/>
                <w:webHidden/>
              </w:rPr>
              <w:fldChar w:fldCharType="begin"/>
            </w:r>
            <w:r w:rsidR="007A71E1">
              <w:rPr>
                <w:noProof/>
                <w:webHidden/>
              </w:rPr>
              <w:instrText xml:space="preserve"> PAGEREF _Toc239440857 \h </w:instrText>
            </w:r>
            <w:r w:rsidR="007A71E1">
              <w:rPr>
                <w:noProof/>
                <w:webHidden/>
              </w:rPr>
            </w:r>
            <w:r w:rsidR="007A71E1">
              <w:rPr>
                <w:noProof/>
                <w:webHidden/>
              </w:rPr>
              <w:fldChar w:fldCharType="separate"/>
            </w:r>
            <w:r w:rsidR="007A71E1">
              <w:rPr>
                <w:noProof/>
                <w:webHidden/>
              </w:rPr>
              <w:t>12</w:t>
            </w:r>
            <w:r w:rsidR="007A71E1">
              <w:rPr>
                <w:noProof/>
                <w:webHidden/>
              </w:rPr>
              <w:fldChar w:fldCharType="end"/>
            </w:r>
          </w:hyperlink>
        </w:p>
        <w:p w14:paraId="6872DB14" w14:textId="62742BFE"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58" w:history="1">
            <w:r w:rsidRPr="00384636">
              <w:rPr>
                <w:rStyle w:val="Hipervnculo"/>
                <w:noProof/>
              </w:rPr>
              <w:t>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rPr>
              <w:t>Evolución de la inteligencia artificial en educación</w:t>
            </w:r>
            <w:r>
              <w:rPr>
                <w:noProof/>
                <w:webHidden/>
              </w:rPr>
              <w:tab/>
            </w:r>
            <w:r>
              <w:rPr>
                <w:noProof/>
                <w:webHidden/>
              </w:rPr>
              <w:fldChar w:fldCharType="begin"/>
            </w:r>
            <w:r>
              <w:rPr>
                <w:noProof/>
                <w:webHidden/>
              </w:rPr>
              <w:instrText xml:space="preserve"> PAGEREF _Toc239440858 \h </w:instrText>
            </w:r>
            <w:r>
              <w:rPr>
                <w:noProof/>
                <w:webHidden/>
              </w:rPr>
            </w:r>
            <w:r>
              <w:rPr>
                <w:noProof/>
                <w:webHidden/>
              </w:rPr>
              <w:fldChar w:fldCharType="separate"/>
            </w:r>
            <w:r>
              <w:rPr>
                <w:noProof/>
                <w:webHidden/>
              </w:rPr>
              <w:t>14</w:t>
            </w:r>
            <w:r>
              <w:rPr>
                <w:noProof/>
                <w:webHidden/>
              </w:rPr>
              <w:fldChar w:fldCharType="end"/>
            </w:r>
          </w:hyperlink>
        </w:p>
        <w:p w14:paraId="194B7FA3" w14:textId="325202E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59" w:history="1">
            <w:r w:rsidRPr="00384636">
              <w:rPr>
                <w:rStyle w:val="Hipervnculo"/>
                <w:noProof/>
                <w:lang w:val="es-MX"/>
              </w:rPr>
              <w:t>1.1.1.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 los sistemas simbólicos al aprendizaje basado en datos</w:t>
            </w:r>
            <w:r>
              <w:rPr>
                <w:noProof/>
                <w:webHidden/>
              </w:rPr>
              <w:tab/>
            </w:r>
            <w:r>
              <w:rPr>
                <w:noProof/>
                <w:webHidden/>
              </w:rPr>
              <w:fldChar w:fldCharType="begin"/>
            </w:r>
            <w:r>
              <w:rPr>
                <w:noProof/>
                <w:webHidden/>
              </w:rPr>
              <w:instrText xml:space="preserve"> PAGEREF _Toc239440859 \h </w:instrText>
            </w:r>
            <w:r>
              <w:rPr>
                <w:noProof/>
                <w:webHidden/>
              </w:rPr>
            </w:r>
            <w:r>
              <w:rPr>
                <w:noProof/>
                <w:webHidden/>
              </w:rPr>
              <w:fldChar w:fldCharType="separate"/>
            </w:r>
            <w:r>
              <w:rPr>
                <w:noProof/>
                <w:webHidden/>
              </w:rPr>
              <w:t>14</w:t>
            </w:r>
            <w:r>
              <w:rPr>
                <w:noProof/>
                <w:webHidden/>
              </w:rPr>
              <w:fldChar w:fldCharType="end"/>
            </w:r>
          </w:hyperlink>
        </w:p>
        <w:p w14:paraId="006C3CE0" w14:textId="2E6F546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0" w:history="1">
            <w:r w:rsidRPr="00384636">
              <w:rPr>
                <w:rStyle w:val="Hipervnculo"/>
                <w:noProof/>
                <w:lang w:val="es-MX"/>
              </w:rPr>
              <w:t>1.1.2.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Sistemas de tutoría inteligente y modelos pedagógicos</w:t>
            </w:r>
            <w:r>
              <w:rPr>
                <w:noProof/>
                <w:webHidden/>
              </w:rPr>
              <w:tab/>
            </w:r>
            <w:r>
              <w:rPr>
                <w:noProof/>
                <w:webHidden/>
              </w:rPr>
              <w:fldChar w:fldCharType="begin"/>
            </w:r>
            <w:r>
              <w:rPr>
                <w:noProof/>
                <w:webHidden/>
              </w:rPr>
              <w:instrText xml:space="preserve"> PAGEREF _Toc239440860 \h </w:instrText>
            </w:r>
            <w:r>
              <w:rPr>
                <w:noProof/>
                <w:webHidden/>
              </w:rPr>
            </w:r>
            <w:r>
              <w:rPr>
                <w:noProof/>
                <w:webHidden/>
              </w:rPr>
              <w:fldChar w:fldCharType="separate"/>
            </w:r>
            <w:r>
              <w:rPr>
                <w:noProof/>
                <w:webHidden/>
              </w:rPr>
              <w:t>15</w:t>
            </w:r>
            <w:r>
              <w:rPr>
                <w:noProof/>
                <w:webHidden/>
              </w:rPr>
              <w:fldChar w:fldCharType="end"/>
            </w:r>
          </w:hyperlink>
        </w:p>
        <w:p w14:paraId="53681ABE" w14:textId="215D04F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1" w:history="1">
            <w:r w:rsidRPr="00384636">
              <w:rPr>
                <w:rStyle w:val="Hipervnculo"/>
                <w:noProof/>
                <w:lang w:val="es-MX"/>
              </w:rPr>
              <w:t>1.1.3.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La inteligencia artificial generativa como punto de inflexión</w:t>
            </w:r>
            <w:r>
              <w:rPr>
                <w:noProof/>
                <w:webHidden/>
              </w:rPr>
              <w:tab/>
            </w:r>
            <w:r>
              <w:rPr>
                <w:noProof/>
                <w:webHidden/>
              </w:rPr>
              <w:fldChar w:fldCharType="begin"/>
            </w:r>
            <w:r>
              <w:rPr>
                <w:noProof/>
                <w:webHidden/>
              </w:rPr>
              <w:instrText xml:space="preserve"> PAGEREF _Toc239440861 \h </w:instrText>
            </w:r>
            <w:r>
              <w:rPr>
                <w:noProof/>
                <w:webHidden/>
              </w:rPr>
            </w:r>
            <w:r>
              <w:rPr>
                <w:noProof/>
                <w:webHidden/>
              </w:rPr>
              <w:fldChar w:fldCharType="separate"/>
            </w:r>
            <w:r>
              <w:rPr>
                <w:noProof/>
                <w:webHidden/>
              </w:rPr>
              <w:t>16</w:t>
            </w:r>
            <w:r>
              <w:rPr>
                <w:noProof/>
                <w:webHidden/>
              </w:rPr>
              <w:fldChar w:fldCharType="end"/>
            </w:r>
          </w:hyperlink>
        </w:p>
        <w:p w14:paraId="5BD6BBCC" w14:textId="3C04991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2" w:history="1">
            <w:r w:rsidRPr="00384636">
              <w:rPr>
                <w:rStyle w:val="Hipervnculo"/>
                <w:noProof/>
                <w:lang w:val="es-MX"/>
              </w:rPr>
              <w:t>1.1.4.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La evolución de la inteligencia artificial desde una perspectiva latinoamericana</w:t>
            </w:r>
            <w:r>
              <w:rPr>
                <w:noProof/>
                <w:webHidden/>
              </w:rPr>
              <w:tab/>
            </w:r>
            <w:r>
              <w:rPr>
                <w:noProof/>
                <w:webHidden/>
              </w:rPr>
              <w:fldChar w:fldCharType="begin"/>
            </w:r>
            <w:r>
              <w:rPr>
                <w:noProof/>
                <w:webHidden/>
              </w:rPr>
              <w:instrText xml:space="preserve"> PAGEREF _Toc239440862 \h </w:instrText>
            </w:r>
            <w:r>
              <w:rPr>
                <w:noProof/>
                <w:webHidden/>
              </w:rPr>
            </w:r>
            <w:r>
              <w:rPr>
                <w:noProof/>
                <w:webHidden/>
              </w:rPr>
              <w:fldChar w:fldCharType="separate"/>
            </w:r>
            <w:r>
              <w:rPr>
                <w:noProof/>
                <w:webHidden/>
              </w:rPr>
              <w:t>17</w:t>
            </w:r>
            <w:r>
              <w:rPr>
                <w:noProof/>
                <w:webHidden/>
              </w:rPr>
              <w:fldChar w:fldCharType="end"/>
            </w:r>
          </w:hyperlink>
        </w:p>
        <w:p w14:paraId="57EF5F11" w14:textId="2E11A91A"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3" w:history="1">
            <w:r w:rsidRPr="00384636">
              <w:rPr>
                <w:rStyle w:val="Hipervnculo"/>
                <w:noProof/>
                <w:lang w:val="es-MX"/>
              </w:rPr>
              <w:t>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Transformación digital universitaria</w:t>
            </w:r>
            <w:r>
              <w:rPr>
                <w:noProof/>
                <w:webHidden/>
              </w:rPr>
              <w:tab/>
            </w:r>
            <w:r>
              <w:rPr>
                <w:noProof/>
                <w:webHidden/>
              </w:rPr>
              <w:fldChar w:fldCharType="begin"/>
            </w:r>
            <w:r>
              <w:rPr>
                <w:noProof/>
                <w:webHidden/>
              </w:rPr>
              <w:instrText xml:space="preserve"> PAGEREF _Toc239440863 \h </w:instrText>
            </w:r>
            <w:r>
              <w:rPr>
                <w:noProof/>
                <w:webHidden/>
              </w:rPr>
            </w:r>
            <w:r>
              <w:rPr>
                <w:noProof/>
                <w:webHidden/>
              </w:rPr>
              <w:fldChar w:fldCharType="separate"/>
            </w:r>
            <w:r>
              <w:rPr>
                <w:noProof/>
                <w:webHidden/>
              </w:rPr>
              <w:t>19</w:t>
            </w:r>
            <w:r>
              <w:rPr>
                <w:noProof/>
                <w:webHidden/>
              </w:rPr>
              <w:fldChar w:fldCharType="end"/>
            </w:r>
          </w:hyperlink>
        </w:p>
        <w:p w14:paraId="151F06D7" w14:textId="37CE05D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4" w:history="1">
            <w:r w:rsidRPr="00384636">
              <w:rPr>
                <w:rStyle w:val="Hipervnculo"/>
                <w:noProof/>
                <w:lang w:val="es-MX"/>
              </w:rPr>
              <w:t>1.2.1.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Transformación organizacional y gestión del cambio</w:t>
            </w:r>
            <w:r>
              <w:rPr>
                <w:noProof/>
                <w:webHidden/>
              </w:rPr>
              <w:tab/>
            </w:r>
            <w:r>
              <w:rPr>
                <w:noProof/>
                <w:webHidden/>
              </w:rPr>
              <w:fldChar w:fldCharType="begin"/>
            </w:r>
            <w:r>
              <w:rPr>
                <w:noProof/>
                <w:webHidden/>
              </w:rPr>
              <w:instrText xml:space="preserve"> PAGEREF _Toc239440864 \h </w:instrText>
            </w:r>
            <w:r>
              <w:rPr>
                <w:noProof/>
                <w:webHidden/>
              </w:rPr>
            </w:r>
            <w:r>
              <w:rPr>
                <w:noProof/>
                <w:webHidden/>
              </w:rPr>
              <w:fldChar w:fldCharType="separate"/>
            </w:r>
            <w:r>
              <w:rPr>
                <w:noProof/>
                <w:webHidden/>
              </w:rPr>
              <w:t>19</w:t>
            </w:r>
            <w:r>
              <w:rPr>
                <w:noProof/>
                <w:webHidden/>
              </w:rPr>
              <w:fldChar w:fldCharType="end"/>
            </w:r>
          </w:hyperlink>
        </w:p>
        <w:p w14:paraId="62561CA7" w14:textId="5077F05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5" w:history="1">
            <w:r w:rsidRPr="00384636">
              <w:rPr>
                <w:rStyle w:val="Hipervnculo"/>
                <w:noProof/>
                <w:lang w:val="es-MX"/>
              </w:rPr>
              <w:t>1.2.2.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Infraestructura de datos e interoperabilidad</w:t>
            </w:r>
            <w:r>
              <w:rPr>
                <w:noProof/>
                <w:webHidden/>
              </w:rPr>
              <w:tab/>
            </w:r>
            <w:r>
              <w:rPr>
                <w:noProof/>
                <w:webHidden/>
              </w:rPr>
              <w:fldChar w:fldCharType="begin"/>
            </w:r>
            <w:r>
              <w:rPr>
                <w:noProof/>
                <w:webHidden/>
              </w:rPr>
              <w:instrText xml:space="preserve"> PAGEREF _Toc239440865 \h </w:instrText>
            </w:r>
            <w:r>
              <w:rPr>
                <w:noProof/>
                <w:webHidden/>
              </w:rPr>
            </w:r>
            <w:r>
              <w:rPr>
                <w:noProof/>
                <w:webHidden/>
              </w:rPr>
              <w:fldChar w:fldCharType="separate"/>
            </w:r>
            <w:r>
              <w:rPr>
                <w:noProof/>
                <w:webHidden/>
              </w:rPr>
              <w:t>20</w:t>
            </w:r>
            <w:r>
              <w:rPr>
                <w:noProof/>
                <w:webHidden/>
              </w:rPr>
              <w:fldChar w:fldCharType="end"/>
            </w:r>
          </w:hyperlink>
        </w:p>
        <w:p w14:paraId="1C961580" w14:textId="35F4D91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6" w:history="1">
            <w:r w:rsidRPr="00384636">
              <w:rPr>
                <w:rStyle w:val="Hipervnculo"/>
                <w:noProof/>
                <w:lang w:val="es-MX"/>
              </w:rPr>
              <w:t>1.2.3.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Liderazgo, cultura digital y aseguramiento de la calidad</w:t>
            </w:r>
            <w:r>
              <w:rPr>
                <w:noProof/>
                <w:webHidden/>
              </w:rPr>
              <w:tab/>
            </w:r>
            <w:r>
              <w:rPr>
                <w:noProof/>
                <w:webHidden/>
              </w:rPr>
              <w:fldChar w:fldCharType="begin"/>
            </w:r>
            <w:r>
              <w:rPr>
                <w:noProof/>
                <w:webHidden/>
              </w:rPr>
              <w:instrText xml:space="preserve"> PAGEREF _Toc239440866 \h </w:instrText>
            </w:r>
            <w:r>
              <w:rPr>
                <w:noProof/>
                <w:webHidden/>
              </w:rPr>
            </w:r>
            <w:r>
              <w:rPr>
                <w:noProof/>
                <w:webHidden/>
              </w:rPr>
              <w:fldChar w:fldCharType="separate"/>
            </w:r>
            <w:r>
              <w:rPr>
                <w:noProof/>
                <w:webHidden/>
              </w:rPr>
              <w:t>21</w:t>
            </w:r>
            <w:r>
              <w:rPr>
                <w:noProof/>
                <w:webHidden/>
              </w:rPr>
              <w:fldChar w:fldCharType="end"/>
            </w:r>
          </w:hyperlink>
        </w:p>
        <w:p w14:paraId="44C39961" w14:textId="0188359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7" w:history="1">
            <w:r w:rsidRPr="00384636">
              <w:rPr>
                <w:rStyle w:val="Hipervnculo"/>
                <w:noProof/>
                <w:lang w:val="es-MX"/>
              </w:rPr>
              <w:t>1.2.4.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Preparación institucional y desarrollo de capacidades</w:t>
            </w:r>
            <w:r>
              <w:rPr>
                <w:noProof/>
                <w:webHidden/>
              </w:rPr>
              <w:tab/>
            </w:r>
            <w:r>
              <w:rPr>
                <w:noProof/>
                <w:webHidden/>
              </w:rPr>
              <w:fldChar w:fldCharType="begin"/>
            </w:r>
            <w:r>
              <w:rPr>
                <w:noProof/>
                <w:webHidden/>
              </w:rPr>
              <w:instrText xml:space="preserve"> PAGEREF _Toc239440867 \h </w:instrText>
            </w:r>
            <w:r>
              <w:rPr>
                <w:noProof/>
                <w:webHidden/>
              </w:rPr>
            </w:r>
            <w:r>
              <w:rPr>
                <w:noProof/>
                <w:webHidden/>
              </w:rPr>
              <w:fldChar w:fldCharType="separate"/>
            </w:r>
            <w:r>
              <w:rPr>
                <w:noProof/>
                <w:webHidden/>
              </w:rPr>
              <w:t>22</w:t>
            </w:r>
            <w:r>
              <w:rPr>
                <w:noProof/>
                <w:webHidden/>
              </w:rPr>
              <w:fldChar w:fldCharType="end"/>
            </w:r>
          </w:hyperlink>
        </w:p>
        <w:p w14:paraId="1EDFFBD3" w14:textId="1F976BB9"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8" w:history="1">
            <w:r w:rsidRPr="00384636">
              <w:rPr>
                <w:rStyle w:val="Hipervnculo"/>
                <w:noProof/>
                <w:lang w:val="es-MX"/>
              </w:rPr>
              <w:t>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Nuevos ecosistemas de aprendizaje</w:t>
            </w:r>
            <w:r>
              <w:rPr>
                <w:noProof/>
                <w:webHidden/>
              </w:rPr>
              <w:tab/>
            </w:r>
            <w:r>
              <w:rPr>
                <w:noProof/>
                <w:webHidden/>
              </w:rPr>
              <w:fldChar w:fldCharType="begin"/>
            </w:r>
            <w:r>
              <w:rPr>
                <w:noProof/>
                <w:webHidden/>
              </w:rPr>
              <w:instrText xml:space="preserve"> PAGEREF _Toc239440868 \h </w:instrText>
            </w:r>
            <w:r>
              <w:rPr>
                <w:noProof/>
                <w:webHidden/>
              </w:rPr>
            </w:r>
            <w:r>
              <w:rPr>
                <w:noProof/>
                <w:webHidden/>
              </w:rPr>
              <w:fldChar w:fldCharType="separate"/>
            </w:r>
            <w:r>
              <w:rPr>
                <w:noProof/>
                <w:webHidden/>
              </w:rPr>
              <w:t>24</w:t>
            </w:r>
            <w:r>
              <w:rPr>
                <w:noProof/>
                <w:webHidden/>
              </w:rPr>
              <w:fldChar w:fldCharType="end"/>
            </w:r>
          </w:hyperlink>
        </w:p>
        <w:p w14:paraId="11CCA279" w14:textId="677DD63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69" w:history="1">
            <w:r w:rsidRPr="00384636">
              <w:rPr>
                <w:rStyle w:val="Hipervnculo"/>
                <w:noProof/>
                <w:lang w:val="es-MX"/>
              </w:rPr>
              <w:t>1.3.1.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Actores, plataformas y recursos interconectados</w:t>
            </w:r>
            <w:r>
              <w:rPr>
                <w:noProof/>
                <w:webHidden/>
              </w:rPr>
              <w:tab/>
            </w:r>
            <w:r>
              <w:rPr>
                <w:noProof/>
                <w:webHidden/>
              </w:rPr>
              <w:fldChar w:fldCharType="begin"/>
            </w:r>
            <w:r>
              <w:rPr>
                <w:noProof/>
                <w:webHidden/>
              </w:rPr>
              <w:instrText xml:space="preserve"> PAGEREF _Toc239440869 \h </w:instrText>
            </w:r>
            <w:r>
              <w:rPr>
                <w:noProof/>
                <w:webHidden/>
              </w:rPr>
            </w:r>
            <w:r>
              <w:rPr>
                <w:noProof/>
                <w:webHidden/>
              </w:rPr>
              <w:fldChar w:fldCharType="separate"/>
            </w:r>
            <w:r>
              <w:rPr>
                <w:noProof/>
                <w:webHidden/>
              </w:rPr>
              <w:t>24</w:t>
            </w:r>
            <w:r>
              <w:rPr>
                <w:noProof/>
                <w:webHidden/>
              </w:rPr>
              <w:fldChar w:fldCharType="end"/>
            </w:r>
          </w:hyperlink>
        </w:p>
        <w:p w14:paraId="7281C71B" w14:textId="50FCFD7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0" w:history="1">
            <w:r w:rsidRPr="00384636">
              <w:rPr>
                <w:rStyle w:val="Hipervnculo"/>
                <w:noProof/>
                <w:lang w:val="es-MX"/>
              </w:rPr>
              <w:t>1.3.2.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Personalización, colaboración y agencia humana</w:t>
            </w:r>
            <w:r>
              <w:rPr>
                <w:noProof/>
                <w:webHidden/>
              </w:rPr>
              <w:tab/>
            </w:r>
            <w:r>
              <w:rPr>
                <w:noProof/>
                <w:webHidden/>
              </w:rPr>
              <w:fldChar w:fldCharType="begin"/>
            </w:r>
            <w:r>
              <w:rPr>
                <w:noProof/>
                <w:webHidden/>
              </w:rPr>
              <w:instrText xml:space="preserve"> PAGEREF _Toc239440870 \h </w:instrText>
            </w:r>
            <w:r>
              <w:rPr>
                <w:noProof/>
                <w:webHidden/>
              </w:rPr>
            </w:r>
            <w:r>
              <w:rPr>
                <w:noProof/>
                <w:webHidden/>
              </w:rPr>
              <w:fldChar w:fldCharType="separate"/>
            </w:r>
            <w:r>
              <w:rPr>
                <w:noProof/>
                <w:webHidden/>
              </w:rPr>
              <w:t>25</w:t>
            </w:r>
            <w:r>
              <w:rPr>
                <w:noProof/>
                <w:webHidden/>
              </w:rPr>
              <w:fldChar w:fldCharType="end"/>
            </w:r>
          </w:hyperlink>
        </w:p>
        <w:p w14:paraId="77C05E20" w14:textId="092F0C8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1" w:history="1">
            <w:r w:rsidRPr="00384636">
              <w:rPr>
                <w:rStyle w:val="Hipervnculo"/>
                <w:noProof/>
                <w:lang w:val="es-MX"/>
              </w:rPr>
              <w:t>1.3.3.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Ecosistemas híbridos, abiertos e inclusivos</w:t>
            </w:r>
            <w:r>
              <w:rPr>
                <w:noProof/>
                <w:webHidden/>
              </w:rPr>
              <w:tab/>
            </w:r>
            <w:r>
              <w:rPr>
                <w:noProof/>
                <w:webHidden/>
              </w:rPr>
              <w:fldChar w:fldCharType="begin"/>
            </w:r>
            <w:r>
              <w:rPr>
                <w:noProof/>
                <w:webHidden/>
              </w:rPr>
              <w:instrText xml:space="preserve"> PAGEREF _Toc239440871 \h </w:instrText>
            </w:r>
            <w:r>
              <w:rPr>
                <w:noProof/>
                <w:webHidden/>
              </w:rPr>
            </w:r>
            <w:r>
              <w:rPr>
                <w:noProof/>
                <w:webHidden/>
              </w:rPr>
              <w:fldChar w:fldCharType="separate"/>
            </w:r>
            <w:r>
              <w:rPr>
                <w:noProof/>
                <w:webHidden/>
              </w:rPr>
              <w:t>26</w:t>
            </w:r>
            <w:r>
              <w:rPr>
                <w:noProof/>
                <w:webHidden/>
              </w:rPr>
              <w:fldChar w:fldCharType="end"/>
            </w:r>
          </w:hyperlink>
        </w:p>
        <w:p w14:paraId="29E7F3A1" w14:textId="324B16D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2" w:history="1">
            <w:r w:rsidRPr="00384636">
              <w:rPr>
                <w:rStyle w:val="Hipervnculo"/>
                <w:noProof/>
                <w:lang w:val="es-MX"/>
              </w:rPr>
              <w:t>1.3.4.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La ecología humana del aprendizaje mediado por inteligencia artificial</w:t>
            </w:r>
            <w:r>
              <w:rPr>
                <w:noProof/>
                <w:webHidden/>
              </w:rPr>
              <w:tab/>
            </w:r>
            <w:r>
              <w:rPr>
                <w:noProof/>
                <w:webHidden/>
              </w:rPr>
              <w:fldChar w:fldCharType="begin"/>
            </w:r>
            <w:r>
              <w:rPr>
                <w:noProof/>
                <w:webHidden/>
              </w:rPr>
              <w:instrText xml:space="preserve"> PAGEREF _Toc239440872 \h </w:instrText>
            </w:r>
            <w:r>
              <w:rPr>
                <w:noProof/>
                <w:webHidden/>
              </w:rPr>
            </w:r>
            <w:r>
              <w:rPr>
                <w:noProof/>
                <w:webHidden/>
              </w:rPr>
              <w:fldChar w:fldCharType="separate"/>
            </w:r>
            <w:r>
              <w:rPr>
                <w:noProof/>
                <w:webHidden/>
              </w:rPr>
              <w:t>27</w:t>
            </w:r>
            <w:r>
              <w:rPr>
                <w:noProof/>
                <w:webHidden/>
              </w:rPr>
              <w:fldChar w:fldCharType="end"/>
            </w:r>
          </w:hyperlink>
        </w:p>
        <w:p w14:paraId="427A20A9" w14:textId="04EBDEB0"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3" w:history="1">
            <w:r w:rsidRPr="00384636">
              <w:rPr>
                <w:rStyle w:val="Hipervnculo"/>
                <w:noProof/>
                <w:lang w:val="es-MX"/>
              </w:rPr>
              <w:t>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Tendencias y escenarios emergentes</w:t>
            </w:r>
            <w:r>
              <w:rPr>
                <w:noProof/>
                <w:webHidden/>
              </w:rPr>
              <w:tab/>
            </w:r>
            <w:r>
              <w:rPr>
                <w:noProof/>
                <w:webHidden/>
              </w:rPr>
              <w:fldChar w:fldCharType="begin"/>
            </w:r>
            <w:r>
              <w:rPr>
                <w:noProof/>
                <w:webHidden/>
              </w:rPr>
              <w:instrText xml:space="preserve"> PAGEREF _Toc239440873 \h </w:instrText>
            </w:r>
            <w:r>
              <w:rPr>
                <w:noProof/>
                <w:webHidden/>
              </w:rPr>
            </w:r>
            <w:r>
              <w:rPr>
                <w:noProof/>
                <w:webHidden/>
              </w:rPr>
              <w:fldChar w:fldCharType="separate"/>
            </w:r>
            <w:r>
              <w:rPr>
                <w:noProof/>
                <w:webHidden/>
              </w:rPr>
              <w:t>29</w:t>
            </w:r>
            <w:r>
              <w:rPr>
                <w:noProof/>
                <w:webHidden/>
              </w:rPr>
              <w:fldChar w:fldCharType="end"/>
            </w:r>
          </w:hyperlink>
        </w:p>
        <w:p w14:paraId="6243BD92" w14:textId="68461D0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4" w:history="1">
            <w:r w:rsidRPr="00384636">
              <w:rPr>
                <w:rStyle w:val="Hipervnculo"/>
                <w:noProof/>
                <w:lang w:val="es-MX"/>
              </w:rPr>
              <w:t>1.4.1.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Multimodalidad y sistemas con capacidad de acción</w:t>
            </w:r>
            <w:r>
              <w:rPr>
                <w:noProof/>
                <w:webHidden/>
              </w:rPr>
              <w:tab/>
            </w:r>
            <w:r>
              <w:rPr>
                <w:noProof/>
                <w:webHidden/>
              </w:rPr>
              <w:fldChar w:fldCharType="begin"/>
            </w:r>
            <w:r>
              <w:rPr>
                <w:noProof/>
                <w:webHidden/>
              </w:rPr>
              <w:instrText xml:space="preserve"> PAGEREF _Toc239440874 \h </w:instrText>
            </w:r>
            <w:r>
              <w:rPr>
                <w:noProof/>
                <w:webHidden/>
              </w:rPr>
            </w:r>
            <w:r>
              <w:rPr>
                <w:noProof/>
                <w:webHidden/>
              </w:rPr>
              <w:fldChar w:fldCharType="separate"/>
            </w:r>
            <w:r>
              <w:rPr>
                <w:noProof/>
                <w:webHidden/>
              </w:rPr>
              <w:t>29</w:t>
            </w:r>
            <w:r>
              <w:rPr>
                <w:noProof/>
                <w:webHidden/>
              </w:rPr>
              <w:fldChar w:fldCharType="end"/>
            </w:r>
          </w:hyperlink>
        </w:p>
        <w:p w14:paraId="5BCC837F" w14:textId="3E611DB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5" w:history="1">
            <w:r w:rsidRPr="00384636">
              <w:rPr>
                <w:rStyle w:val="Hipervnculo"/>
                <w:noProof/>
                <w:lang w:val="es-MX"/>
              </w:rPr>
              <w:t>1.4.2.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Transformación de la evaluación y nuevas evidencias de aprendizaje</w:t>
            </w:r>
            <w:r>
              <w:rPr>
                <w:noProof/>
                <w:webHidden/>
              </w:rPr>
              <w:tab/>
            </w:r>
            <w:r>
              <w:rPr>
                <w:noProof/>
                <w:webHidden/>
              </w:rPr>
              <w:fldChar w:fldCharType="begin"/>
            </w:r>
            <w:r>
              <w:rPr>
                <w:noProof/>
                <w:webHidden/>
              </w:rPr>
              <w:instrText xml:space="preserve"> PAGEREF _Toc239440875 \h </w:instrText>
            </w:r>
            <w:r>
              <w:rPr>
                <w:noProof/>
                <w:webHidden/>
              </w:rPr>
            </w:r>
            <w:r>
              <w:rPr>
                <w:noProof/>
                <w:webHidden/>
              </w:rPr>
              <w:fldChar w:fldCharType="separate"/>
            </w:r>
            <w:r>
              <w:rPr>
                <w:noProof/>
                <w:webHidden/>
              </w:rPr>
              <w:t>30</w:t>
            </w:r>
            <w:r>
              <w:rPr>
                <w:noProof/>
                <w:webHidden/>
              </w:rPr>
              <w:fldChar w:fldCharType="end"/>
            </w:r>
          </w:hyperlink>
        </w:p>
        <w:p w14:paraId="4FDD89D5" w14:textId="59CC055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6" w:history="1">
            <w:r w:rsidRPr="00384636">
              <w:rPr>
                <w:rStyle w:val="Hipervnculo"/>
                <w:noProof/>
                <w:lang w:val="es-MX"/>
              </w:rPr>
              <w:t>1.4.3.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Gobernanza anticipatoria y escenarios institucionales</w:t>
            </w:r>
            <w:r>
              <w:rPr>
                <w:noProof/>
                <w:webHidden/>
              </w:rPr>
              <w:tab/>
            </w:r>
            <w:r>
              <w:rPr>
                <w:noProof/>
                <w:webHidden/>
              </w:rPr>
              <w:fldChar w:fldCharType="begin"/>
            </w:r>
            <w:r>
              <w:rPr>
                <w:noProof/>
                <w:webHidden/>
              </w:rPr>
              <w:instrText xml:space="preserve"> PAGEREF _Toc239440876 \h </w:instrText>
            </w:r>
            <w:r>
              <w:rPr>
                <w:noProof/>
                <w:webHidden/>
              </w:rPr>
            </w:r>
            <w:r>
              <w:rPr>
                <w:noProof/>
                <w:webHidden/>
              </w:rPr>
              <w:fldChar w:fldCharType="separate"/>
            </w:r>
            <w:r>
              <w:rPr>
                <w:noProof/>
                <w:webHidden/>
              </w:rPr>
              <w:t>30</w:t>
            </w:r>
            <w:r>
              <w:rPr>
                <w:noProof/>
                <w:webHidden/>
              </w:rPr>
              <w:fldChar w:fldCharType="end"/>
            </w:r>
          </w:hyperlink>
        </w:p>
        <w:p w14:paraId="00FDA366" w14:textId="2B8A97E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7" w:history="1">
            <w:r w:rsidRPr="00384636">
              <w:rPr>
                <w:rStyle w:val="Hipervnculo"/>
                <w:noProof/>
                <w:lang w:val="es-MX"/>
              </w:rPr>
              <w:t>1.4.4.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Sostenibilidad, impacto ambiental y responsabilidad intergeneracional</w:t>
            </w:r>
            <w:r>
              <w:rPr>
                <w:noProof/>
                <w:webHidden/>
              </w:rPr>
              <w:tab/>
            </w:r>
            <w:r>
              <w:rPr>
                <w:noProof/>
                <w:webHidden/>
              </w:rPr>
              <w:fldChar w:fldCharType="begin"/>
            </w:r>
            <w:r>
              <w:rPr>
                <w:noProof/>
                <w:webHidden/>
              </w:rPr>
              <w:instrText xml:space="preserve"> PAGEREF _Toc239440877 \h </w:instrText>
            </w:r>
            <w:r>
              <w:rPr>
                <w:noProof/>
                <w:webHidden/>
              </w:rPr>
            </w:r>
            <w:r>
              <w:rPr>
                <w:noProof/>
                <w:webHidden/>
              </w:rPr>
              <w:fldChar w:fldCharType="separate"/>
            </w:r>
            <w:r>
              <w:rPr>
                <w:noProof/>
                <w:webHidden/>
              </w:rPr>
              <w:t>31</w:t>
            </w:r>
            <w:r>
              <w:rPr>
                <w:noProof/>
                <w:webHidden/>
              </w:rPr>
              <w:fldChar w:fldCharType="end"/>
            </w:r>
          </w:hyperlink>
        </w:p>
        <w:p w14:paraId="1D722C91" w14:textId="05F4F921"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0878" w:history="1">
            <w:r w:rsidRPr="00384636">
              <w:rPr>
                <w:rStyle w:val="Hipervnculo"/>
                <w:noProof/>
              </w:rPr>
              <w:t>2.</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Capítulo 2: Inteligencia artificial aplicada a la enseñanza universitaria</w:t>
            </w:r>
            <w:r>
              <w:rPr>
                <w:noProof/>
                <w:webHidden/>
              </w:rPr>
              <w:tab/>
            </w:r>
            <w:r>
              <w:rPr>
                <w:noProof/>
                <w:webHidden/>
              </w:rPr>
              <w:fldChar w:fldCharType="begin"/>
            </w:r>
            <w:r>
              <w:rPr>
                <w:noProof/>
                <w:webHidden/>
              </w:rPr>
              <w:instrText xml:space="preserve"> PAGEREF _Toc239440878 \h </w:instrText>
            </w:r>
            <w:r>
              <w:rPr>
                <w:noProof/>
                <w:webHidden/>
              </w:rPr>
            </w:r>
            <w:r>
              <w:rPr>
                <w:noProof/>
                <w:webHidden/>
              </w:rPr>
              <w:fldChar w:fldCharType="separate"/>
            </w:r>
            <w:r>
              <w:rPr>
                <w:noProof/>
                <w:webHidden/>
              </w:rPr>
              <w:t>34</w:t>
            </w:r>
            <w:r>
              <w:rPr>
                <w:noProof/>
                <w:webHidden/>
              </w:rPr>
              <w:fldChar w:fldCharType="end"/>
            </w:r>
          </w:hyperlink>
        </w:p>
        <w:p w14:paraId="4024661B" w14:textId="5F7715CC"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79" w:history="1">
            <w:r w:rsidRPr="00384636">
              <w:rPr>
                <w:rStyle w:val="Hipervnculo"/>
                <w:noProof/>
                <w:lang w:val="es-MX"/>
              </w:rPr>
              <w:t>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Diseño de experiencias de aprendizaje</w:t>
            </w:r>
            <w:r>
              <w:rPr>
                <w:noProof/>
                <w:webHidden/>
              </w:rPr>
              <w:tab/>
            </w:r>
            <w:r>
              <w:rPr>
                <w:noProof/>
                <w:webHidden/>
              </w:rPr>
              <w:fldChar w:fldCharType="begin"/>
            </w:r>
            <w:r>
              <w:rPr>
                <w:noProof/>
                <w:webHidden/>
              </w:rPr>
              <w:instrText xml:space="preserve"> PAGEREF _Toc239440879 \h </w:instrText>
            </w:r>
            <w:r>
              <w:rPr>
                <w:noProof/>
                <w:webHidden/>
              </w:rPr>
            </w:r>
            <w:r>
              <w:rPr>
                <w:noProof/>
                <w:webHidden/>
              </w:rPr>
              <w:fldChar w:fldCharType="separate"/>
            </w:r>
            <w:r>
              <w:rPr>
                <w:noProof/>
                <w:webHidden/>
              </w:rPr>
              <w:t>36</w:t>
            </w:r>
            <w:r>
              <w:rPr>
                <w:noProof/>
                <w:webHidden/>
              </w:rPr>
              <w:fldChar w:fldCharType="end"/>
            </w:r>
          </w:hyperlink>
        </w:p>
        <w:p w14:paraId="4F6DFE53" w14:textId="78353CC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0" w:history="1">
            <w:r w:rsidRPr="00384636">
              <w:rPr>
                <w:rStyle w:val="Hipervnculo"/>
                <w:noProof/>
                <w:lang w:val="es-MX"/>
              </w:rPr>
              <w:t>2.1.1.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Alineación constructiva y resultados de aprendizaje</w:t>
            </w:r>
            <w:r>
              <w:rPr>
                <w:noProof/>
                <w:webHidden/>
              </w:rPr>
              <w:tab/>
            </w:r>
            <w:r>
              <w:rPr>
                <w:noProof/>
                <w:webHidden/>
              </w:rPr>
              <w:fldChar w:fldCharType="begin"/>
            </w:r>
            <w:r>
              <w:rPr>
                <w:noProof/>
                <w:webHidden/>
              </w:rPr>
              <w:instrText xml:space="preserve"> PAGEREF _Toc239440880 \h </w:instrText>
            </w:r>
            <w:r>
              <w:rPr>
                <w:noProof/>
                <w:webHidden/>
              </w:rPr>
            </w:r>
            <w:r>
              <w:rPr>
                <w:noProof/>
                <w:webHidden/>
              </w:rPr>
              <w:fldChar w:fldCharType="separate"/>
            </w:r>
            <w:r>
              <w:rPr>
                <w:noProof/>
                <w:webHidden/>
              </w:rPr>
              <w:t>36</w:t>
            </w:r>
            <w:r>
              <w:rPr>
                <w:noProof/>
                <w:webHidden/>
              </w:rPr>
              <w:fldChar w:fldCharType="end"/>
            </w:r>
          </w:hyperlink>
        </w:p>
        <w:p w14:paraId="49C29683" w14:textId="55EA1F0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1" w:history="1">
            <w:r w:rsidRPr="00384636">
              <w:rPr>
                <w:rStyle w:val="Hipervnculo"/>
                <w:noProof/>
                <w:lang w:val="es-MX"/>
              </w:rPr>
              <w:t>2.1.2.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Aprendizaje activo, preguntas y ejemplos trabajados</w:t>
            </w:r>
            <w:r>
              <w:rPr>
                <w:noProof/>
                <w:webHidden/>
              </w:rPr>
              <w:tab/>
            </w:r>
            <w:r>
              <w:rPr>
                <w:noProof/>
                <w:webHidden/>
              </w:rPr>
              <w:fldChar w:fldCharType="begin"/>
            </w:r>
            <w:r>
              <w:rPr>
                <w:noProof/>
                <w:webHidden/>
              </w:rPr>
              <w:instrText xml:space="preserve"> PAGEREF _Toc239440881 \h </w:instrText>
            </w:r>
            <w:r>
              <w:rPr>
                <w:noProof/>
                <w:webHidden/>
              </w:rPr>
            </w:r>
            <w:r>
              <w:rPr>
                <w:noProof/>
                <w:webHidden/>
              </w:rPr>
              <w:fldChar w:fldCharType="separate"/>
            </w:r>
            <w:r>
              <w:rPr>
                <w:noProof/>
                <w:webHidden/>
              </w:rPr>
              <w:t>37</w:t>
            </w:r>
            <w:r>
              <w:rPr>
                <w:noProof/>
                <w:webHidden/>
              </w:rPr>
              <w:fldChar w:fldCharType="end"/>
            </w:r>
          </w:hyperlink>
        </w:p>
        <w:p w14:paraId="4914E9B2" w14:textId="48D9B23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2" w:history="1">
            <w:r w:rsidRPr="00384636">
              <w:rPr>
                <w:rStyle w:val="Hipervnculo"/>
                <w:noProof/>
                <w:lang w:val="es-MX"/>
              </w:rPr>
              <w:t>2.1.3.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Casos, simulaciones y aprendizaje basado en proyectos</w:t>
            </w:r>
            <w:r>
              <w:rPr>
                <w:noProof/>
                <w:webHidden/>
              </w:rPr>
              <w:tab/>
            </w:r>
            <w:r>
              <w:rPr>
                <w:noProof/>
                <w:webHidden/>
              </w:rPr>
              <w:fldChar w:fldCharType="begin"/>
            </w:r>
            <w:r>
              <w:rPr>
                <w:noProof/>
                <w:webHidden/>
              </w:rPr>
              <w:instrText xml:space="preserve"> PAGEREF _Toc239440882 \h </w:instrText>
            </w:r>
            <w:r>
              <w:rPr>
                <w:noProof/>
                <w:webHidden/>
              </w:rPr>
            </w:r>
            <w:r>
              <w:rPr>
                <w:noProof/>
                <w:webHidden/>
              </w:rPr>
              <w:fldChar w:fldCharType="separate"/>
            </w:r>
            <w:r>
              <w:rPr>
                <w:noProof/>
                <w:webHidden/>
              </w:rPr>
              <w:t>38</w:t>
            </w:r>
            <w:r>
              <w:rPr>
                <w:noProof/>
                <w:webHidden/>
              </w:rPr>
              <w:fldChar w:fldCharType="end"/>
            </w:r>
          </w:hyperlink>
        </w:p>
        <w:p w14:paraId="42561DCB" w14:textId="4968EB8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3" w:history="1">
            <w:r w:rsidRPr="00384636">
              <w:rPr>
                <w:rStyle w:val="Hipervnculo"/>
                <w:noProof/>
                <w:lang w:val="es-MX"/>
              </w:rPr>
              <w:t>2.1.4.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Colaboración, multimodalidad y diseño universal</w:t>
            </w:r>
            <w:r>
              <w:rPr>
                <w:noProof/>
                <w:webHidden/>
              </w:rPr>
              <w:tab/>
            </w:r>
            <w:r>
              <w:rPr>
                <w:noProof/>
                <w:webHidden/>
              </w:rPr>
              <w:fldChar w:fldCharType="begin"/>
            </w:r>
            <w:r>
              <w:rPr>
                <w:noProof/>
                <w:webHidden/>
              </w:rPr>
              <w:instrText xml:space="preserve"> PAGEREF _Toc239440883 \h </w:instrText>
            </w:r>
            <w:r>
              <w:rPr>
                <w:noProof/>
                <w:webHidden/>
              </w:rPr>
            </w:r>
            <w:r>
              <w:rPr>
                <w:noProof/>
                <w:webHidden/>
              </w:rPr>
              <w:fldChar w:fldCharType="separate"/>
            </w:r>
            <w:r>
              <w:rPr>
                <w:noProof/>
                <w:webHidden/>
              </w:rPr>
              <w:t>39</w:t>
            </w:r>
            <w:r>
              <w:rPr>
                <w:noProof/>
                <w:webHidden/>
              </w:rPr>
              <w:fldChar w:fldCharType="end"/>
            </w:r>
          </w:hyperlink>
        </w:p>
        <w:p w14:paraId="7CC1BD33" w14:textId="7D446B5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4" w:history="1">
            <w:r w:rsidRPr="00384636">
              <w:rPr>
                <w:rStyle w:val="Hipervnculo"/>
                <w:noProof/>
                <w:lang w:val="es-MX"/>
              </w:rPr>
              <w:t>2.1.5.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Instrucciones, flujo de trabajo y evaluación de la experiencia</w:t>
            </w:r>
            <w:r>
              <w:rPr>
                <w:noProof/>
                <w:webHidden/>
              </w:rPr>
              <w:tab/>
            </w:r>
            <w:r>
              <w:rPr>
                <w:noProof/>
                <w:webHidden/>
              </w:rPr>
              <w:fldChar w:fldCharType="begin"/>
            </w:r>
            <w:r>
              <w:rPr>
                <w:noProof/>
                <w:webHidden/>
              </w:rPr>
              <w:instrText xml:space="preserve"> PAGEREF _Toc239440884 \h </w:instrText>
            </w:r>
            <w:r>
              <w:rPr>
                <w:noProof/>
                <w:webHidden/>
              </w:rPr>
            </w:r>
            <w:r>
              <w:rPr>
                <w:noProof/>
                <w:webHidden/>
              </w:rPr>
              <w:fldChar w:fldCharType="separate"/>
            </w:r>
            <w:r>
              <w:rPr>
                <w:noProof/>
                <w:webHidden/>
              </w:rPr>
              <w:t>40</w:t>
            </w:r>
            <w:r>
              <w:rPr>
                <w:noProof/>
                <w:webHidden/>
              </w:rPr>
              <w:fldChar w:fldCharType="end"/>
            </w:r>
          </w:hyperlink>
        </w:p>
        <w:p w14:paraId="2F84402B" w14:textId="5EF3A5E5"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5" w:history="1">
            <w:r w:rsidRPr="00384636">
              <w:rPr>
                <w:rStyle w:val="Hipervnculo"/>
                <w:noProof/>
                <w:lang w:val="es-MX"/>
              </w:rPr>
              <w:t>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Personalización y aprendizaje adaptativo</w:t>
            </w:r>
            <w:r>
              <w:rPr>
                <w:noProof/>
                <w:webHidden/>
              </w:rPr>
              <w:tab/>
            </w:r>
            <w:r>
              <w:rPr>
                <w:noProof/>
                <w:webHidden/>
              </w:rPr>
              <w:fldChar w:fldCharType="begin"/>
            </w:r>
            <w:r>
              <w:rPr>
                <w:noProof/>
                <w:webHidden/>
              </w:rPr>
              <w:instrText xml:space="preserve"> PAGEREF _Toc239440885 \h </w:instrText>
            </w:r>
            <w:r>
              <w:rPr>
                <w:noProof/>
                <w:webHidden/>
              </w:rPr>
            </w:r>
            <w:r>
              <w:rPr>
                <w:noProof/>
                <w:webHidden/>
              </w:rPr>
              <w:fldChar w:fldCharType="separate"/>
            </w:r>
            <w:r>
              <w:rPr>
                <w:noProof/>
                <w:webHidden/>
              </w:rPr>
              <w:t>41</w:t>
            </w:r>
            <w:r>
              <w:rPr>
                <w:noProof/>
                <w:webHidden/>
              </w:rPr>
              <w:fldChar w:fldCharType="end"/>
            </w:r>
          </w:hyperlink>
        </w:p>
        <w:p w14:paraId="7F9E8829" w14:textId="06C9B86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6" w:history="1">
            <w:r w:rsidRPr="00384636">
              <w:rPr>
                <w:rStyle w:val="Hipervnculo"/>
                <w:noProof/>
                <w:lang w:val="es-MX"/>
              </w:rPr>
              <w:t>2.2.1.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Alcance, dimensiones y diagnóstico inicial</w:t>
            </w:r>
            <w:r>
              <w:rPr>
                <w:noProof/>
                <w:webHidden/>
              </w:rPr>
              <w:tab/>
            </w:r>
            <w:r>
              <w:rPr>
                <w:noProof/>
                <w:webHidden/>
              </w:rPr>
              <w:fldChar w:fldCharType="begin"/>
            </w:r>
            <w:r>
              <w:rPr>
                <w:noProof/>
                <w:webHidden/>
              </w:rPr>
              <w:instrText xml:space="preserve"> PAGEREF _Toc239440886 \h </w:instrText>
            </w:r>
            <w:r>
              <w:rPr>
                <w:noProof/>
                <w:webHidden/>
              </w:rPr>
            </w:r>
            <w:r>
              <w:rPr>
                <w:noProof/>
                <w:webHidden/>
              </w:rPr>
              <w:fldChar w:fldCharType="separate"/>
            </w:r>
            <w:r>
              <w:rPr>
                <w:noProof/>
                <w:webHidden/>
              </w:rPr>
              <w:t>41</w:t>
            </w:r>
            <w:r>
              <w:rPr>
                <w:noProof/>
                <w:webHidden/>
              </w:rPr>
              <w:fldChar w:fldCharType="end"/>
            </w:r>
          </w:hyperlink>
        </w:p>
        <w:p w14:paraId="7FDA853A" w14:textId="245A9DA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7" w:history="1">
            <w:r w:rsidRPr="00384636">
              <w:rPr>
                <w:rStyle w:val="Hipervnculo"/>
                <w:noProof/>
                <w:lang w:val="es-MX"/>
              </w:rPr>
              <w:t>2.2.2.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Modelos de dominio, perfiles y rutas adaptativas</w:t>
            </w:r>
            <w:r>
              <w:rPr>
                <w:noProof/>
                <w:webHidden/>
              </w:rPr>
              <w:tab/>
            </w:r>
            <w:r>
              <w:rPr>
                <w:noProof/>
                <w:webHidden/>
              </w:rPr>
              <w:fldChar w:fldCharType="begin"/>
            </w:r>
            <w:r>
              <w:rPr>
                <w:noProof/>
                <w:webHidden/>
              </w:rPr>
              <w:instrText xml:space="preserve"> PAGEREF _Toc239440887 \h </w:instrText>
            </w:r>
            <w:r>
              <w:rPr>
                <w:noProof/>
                <w:webHidden/>
              </w:rPr>
            </w:r>
            <w:r>
              <w:rPr>
                <w:noProof/>
                <w:webHidden/>
              </w:rPr>
              <w:fldChar w:fldCharType="separate"/>
            </w:r>
            <w:r>
              <w:rPr>
                <w:noProof/>
                <w:webHidden/>
              </w:rPr>
              <w:t>43</w:t>
            </w:r>
            <w:r>
              <w:rPr>
                <w:noProof/>
                <w:webHidden/>
              </w:rPr>
              <w:fldChar w:fldCharType="end"/>
            </w:r>
          </w:hyperlink>
        </w:p>
        <w:p w14:paraId="7D35F77B" w14:textId="4A9EA7E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8" w:history="1">
            <w:r w:rsidRPr="00384636">
              <w:rPr>
                <w:rStyle w:val="Hipervnculo"/>
                <w:noProof/>
                <w:lang w:val="es-MX"/>
              </w:rPr>
              <w:t>2.2.3.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Ritmo, recomendación y retroalimentación adaptativa</w:t>
            </w:r>
            <w:r>
              <w:rPr>
                <w:noProof/>
                <w:webHidden/>
              </w:rPr>
              <w:tab/>
            </w:r>
            <w:r>
              <w:rPr>
                <w:noProof/>
                <w:webHidden/>
              </w:rPr>
              <w:fldChar w:fldCharType="begin"/>
            </w:r>
            <w:r>
              <w:rPr>
                <w:noProof/>
                <w:webHidden/>
              </w:rPr>
              <w:instrText xml:space="preserve"> PAGEREF _Toc239440888 \h </w:instrText>
            </w:r>
            <w:r>
              <w:rPr>
                <w:noProof/>
                <w:webHidden/>
              </w:rPr>
            </w:r>
            <w:r>
              <w:rPr>
                <w:noProof/>
                <w:webHidden/>
              </w:rPr>
              <w:fldChar w:fldCharType="separate"/>
            </w:r>
            <w:r>
              <w:rPr>
                <w:noProof/>
                <w:webHidden/>
              </w:rPr>
              <w:t>44</w:t>
            </w:r>
            <w:r>
              <w:rPr>
                <w:noProof/>
                <w:webHidden/>
              </w:rPr>
              <w:fldChar w:fldCharType="end"/>
            </w:r>
          </w:hyperlink>
        </w:p>
        <w:p w14:paraId="1A641BCD" w14:textId="6AFC42A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89" w:history="1">
            <w:r w:rsidRPr="00384636">
              <w:rPr>
                <w:rStyle w:val="Hipervnculo"/>
                <w:noProof/>
                <w:lang w:val="es-MX"/>
              </w:rPr>
              <w:t>2.2.4.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Práctica espaciada, autonomía y equidad</w:t>
            </w:r>
            <w:r>
              <w:rPr>
                <w:noProof/>
                <w:webHidden/>
              </w:rPr>
              <w:tab/>
            </w:r>
            <w:r>
              <w:rPr>
                <w:noProof/>
                <w:webHidden/>
              </w:rPr>
              <w:fldChar w:fldCharType="begin"/>
            </w:r>
            <w:r>
              <w:rPr>
                <w:noProof/>
                <w:webHidden/>
              </w:rPr>
              <w:instrText xml:space="preserve"> PAGEREF _Toc239440889 \h </w:instrText>
            </w:r>
            <w:r>
              <w:rPr>
                <w:noProof/>
                <w:webHidden/>
              </w:rPr>
            </w:r>
            <w:r>
              <w:rPr>
                <w:noProof/>
                <w:webHidden/>
              </w:rPr>
              <w:fldChar w:fldCharType="separate"/>
            </w:r>
            <w:r>
              <w:rPr>
                <w:noProof/>
                <w:webHidden/>
              </w:rPr>
              <w:t>45</w:t>
            </w:r>
            <w:r>
              <w:rPr>
                <w:noProof/>
                <w:webHidden/>
              </w:rPr>
              <w:fldChar w:fldCharType="end"/>
            </w:r>
          </w:hyperlink>
        </w:p>
        <w:p w14:paraId="0D8B5387" w14:textId="3E2721A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0" w:history="1">
            <w:r w:rsidRPr="00384636">
              <w:rPr>
                <w:rStyle w:val="Hipervnculo"/>
                <w:noProof/>
                <w:lang w:val="es-MX"/>
              </w:rPr>
              <w:t>2.2.5.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Accesibilidad, tableros y orquestación docente</w:t>
            </w:r>
            <w:r>
              <w:rPr>
                <w:noProof/>
                <w:webHidden/>
              </w:rPr>
              <w:tab/>
            </w:r>
            <w:r>
              <w:rPr>
                <w:noProof/>
                <w:webHidden/>
              </w:rPr>
              <w:fldChar w:fldCharType="begin"/>
            </w:r>
            <w:r>
              <w:rPr>
                <w:noProof/>
                <w:webHidden/>
              </w:rPr>
              <w:instrText xml:space="preserve"> PAGEREF _Toc239440890 \h </w:instrText>
            </w:r>
            <w:r>
              <w:rPr>
                <w:noProof/>
                <w:webHidden/>
              </w:rPr>
            </w:r>
            <w:r>
              <w:rPr>
                <w:noProof/>
                <w:webHidden/>
              </w:rPr>
              <w:fldChar w:fldCharType="separate"/>
            </w:r>
            <w:r>
              <w:rPr>
                <w:noProof/>
                <w:webHidden/>
              </w:rPr>
              <w:t>46</w:t>
            </w:r>
            <w:r>
              <w:rPr>
                <w:noProof/>
                <w:webHidden/>
              </w:rPr>
              <w:fldChar w:fldCharType="end"/>
            </w:r>
          </w:hyperlink>
        </w:p>
        <w:p w14:paraId="35102388" w14:textId="4AB8F29E"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1" w:history="1">
            <w:r w:rsidRPr="00384636">
              <w:rPr>
                <w:rStyle w:val="Hipervnculo"/>
                <w:noProof/>
                <w:lang w:val="es-MX"/>
              </w:rPr>
              <w:t>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Tutoría y acompañamiento inteligente</w:t>
            </w:r>
            <w:r>
              <w:rPr>
                <w:noProof/>
                <w:webHidden/>
              </w:rPr>
              <w:tab/>
            </w:r>
            <w:r>
              <w:rPr>
                <w:noProof/>
                <w:webHidden/>
              </w:rPr>
              <w:fldChar w:fldCharType="begin"/>
            </w:r>
            <w:r>
              <w:rPr>
                <w:noProof/>
                <w:webHidden/>
              </w:rPr>
              <w:instrText xml:space="preserve"> PAGEREF _Toc239440891 \h </w:instrText>
            </w:r>
            <w:r>
              <w:rPr>
                <w:noProof/>
                <w:webHidden/>
              </w:rPr>
            </w:r>
            <w:r>
              <w:rPr>
                <w:noProof/>
                <w:webHidden/>
              </w:rPr>
              <w:fldChar w:fldCharType="separate"/>
            </w:r>
            <w:r>
              <w:rPr>
                <w:noProof/>
                <w:webHidden/>
              </w:rPr>
              <w:t>48</w:t>
            </w:r>
            <w:r>
              <w:rPr>
                <w:noProof/>
                <w:webHidden/>
              </w:rPr>
              <w:fldChar w:fldCharType="end"/>
            </w:r>
          </w:hyperlink>
        </w:p>
        <w:p w14:paraId="472FE8CE" w14:textId="27A6BE7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2" w:history="1">
            <w:r w:rsidRPr="00384636">
              <w:rPr>
                <w:rStyle w:val="Hipervnculo"/>
                <w:noProof/>
                <w:lang w:val="es-MX"/>
              </w:rPr>
              <w:t>2.3.1.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Fundamentos y diálogo tutorial</w:t>
            </w:r>
            <w:r>
              <w:rPr>
                <w:noProof/>
                <w:webHidden/>
              </w:rPr>
              <w:tab/>
            </w:r>
            <w:r>
              <w:rPr>
                <w:noProof/>
                <w:webHidden/>
              </w:rPr>
              <w:fldChar w:fldCharType="begin"/>
            </w:r>
            <w:r>
              <w:rPr>
                <w:noProof/>
                <w:webHidden/>
              </w:rPr>
              <w:instrText xml:space="preserve"> PAGEREF _Toc239440892 \h </w:instrText>
            </w:r>
            <w:r>
              <w:rPr>
                <w:noProof/>
                <w:webHidden/>
              </w:rPr>
            </w:r>
            <w:r>
              <w:rPr>
                <w:noProof/>
                <w:webHidden/>
              </w:rPr>
              <w:fldChar w:fldCharType="separate"/>
            </w:r>
            <w:r>
              <w:rPr>
                <w:noProof/>
                <w:webHidden/>
              </w:rPr>
              <w:t>48</w:t>
            </w:r>
            <w:r>
              <w:rPr>
                <w:noProof/>
                <w:webHidden/>
              </w:rPr>
              <w:fldChar w:fldCharType="end"/>
            </w:r>
          </w:hyperlink>
        </w:p>
        <w:p w14:paraId="1402FCDB" w14:textId="5550C0A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3" w:history="1">
            <w:r w:rsidRPr="00384636">
              <w:rPr>
                <w:rStyle w:val="Hipervnculo"/>
                <w:noProof/>
                <w:lang w:val="es-MX"/>
              </w:rPr>
              <w:t>2.3.2.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Diagnóstico de errores, retroalimentación y metacognición</w:t>
            </w:r>
            <w:r>
              <w:rPr>
                <w:noProof/>
                <w:webHidden/>
              </w:rPr>
              <w:tab/>
            </w:r>
            <w:r>
              <w:rPr>
                <w:noProof/>
                <w:webHidden/>
              </w:rPr>
              <w:fldChar w:fldCharType="begin"/>
            </w:r>
            <w:r>
              <w:rPr>
                <w:noProof/>
                <w:webHidden/>
              </w:rPr>
              <w:instrText xml:space="preserve"> PAGEREF _Toc239440893 \h </w:instrText>
            </w:r>
            <w:r>
              <w:rPr>
                <w:noProof/>
                <w:webHidden/>
              </w:rPr>
            </w:r>
            <w:r>
              <w:rPr>
                <w:noProof/>
                <w:webHidden/>
              </w:rPr>
              <w:fldChar w:fldCharType="separate"/>
            </w:r>
            <w:r>
              <w:rPr>
                <w:noProof/>
                <w:webHidden/>
              </w:rPr>
              <w:t>49</w:t>
            </w:r>
            <w:r>
              <w:rPr>
                <w:noProof/>
                <w:webHidden/>
              </w:rPr>
              <w:fldChar w:fldCharType="end"/>
            </w:r>
          </w:hyperlink>
        </w:p>
        <w:p w14:paraId="51AB251D" w14:textId="2238794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4" w:history="1">
            <w:r w:rsidRPr="00384636">
              <w:rPr>
                <w:rStyle w:val="Hipervnculo"/>
                <w:noProof/>
                <w:lang w:val="es-MX"/>
              </w:rPr>
              <w:t>2.3.3.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Asistentes de estudio y práctica disciplinar</w:t>
            </w:r>
            <w:r>
              <w:rPr>
                <w:noProof/>
                <w:webHidden/>
              </w:rPr>
              <w:tab/>
            </w:r>
            <w:r>
              <w:rPr>
                <w:noProof/>
                <w:webHidden/>
              </w:rPr>
              <w:fldChar w:fldCharType="begin"/>
            </w:r>
            <w:r>
              <w:rPr>
                <w:noProof/>
                <w:webHidden/>
              </w:rPr>
              <w:instrText xml:space="preserve"> PAGEREF _Toc239440894 \h </w:instrText>
            </w:r>
            <w:r>
              <w:rPr>
                <w:noProof/>
                <w:webHidden/>
              </w:rPr>
            </w:r>
            <w:r>
              <w:rPr>
                <w:noProof/>
                <w:webHidden/>
              </w:rPr>
              <w:fldChar w:fldCharType="separate"/>
            </w:r>
            <w:r>
              <w:rPr>
                <w:noProof/>
                <w:webHidden/>
              </w:rPr>
              <w:t>50</w:t>
            </w:r>
            <w:r>
              <w:rPr>
                <w:noProof/>
                <w:webHidden/>
              </w:rPr>
              <w:fldChar w:fldCharType="end"/>
            </w:r>
          </w:hyperlink>
        </w:p>
        <w:p w14:paraId="2DBBB549" w14:textId="61C041C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5" w:history="1">
            <w:r w:rsidRPr="00384636">
              <w:rPr>
                <w:rStyle w:val="Hipervnculo"/>
                <w:noProof/>
                <w:lang w:val="es-MX"/>
              </w:rPr>
              <w:t>2.3.4.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Dimensión socioafectiva, privacidad y derivación humana</w:t>
            </w:r>
            <w:r>
              <w:rPr>
                <w:noProof/>
                <w:webHidden/>
              </w:rPr>
              <w:tab/>
            </w:r>
            <w:r>
              <w:rPr>
                <w:noProof/>
                <w:webHidden/>
              </w:rPr>
              <w:fldChar w:fldCharType="begin"/>
            </w:r>
            <w:r>
              <w:rPr>
                <w:noProof/>
                <w:webHidden/>
              </w:rPr>
              <w:instrText xml:space="preserve"> PAGEREF _Toc239440895 \h </w:instrText>
            </w:r>
            <w:r>
              <w:rPr>
                <w:noProof/>
                <w:webHidden/>
              </w:rPr>
            </w:r>
            <w:r>
              <w:rPr>
                <w:noProof/>
                <w:webHidden/>
              </w:rPr>
              <w:fldChar w:fldCharType="separate"/>
            </w:r>
            <w:r>
              <w:rPr>
                <w:noProof/>
                <w:webHidden/>
              </w:rPr>
              <w:t>51</w:t>
            </w:r>
            <w:r>
              <w:rPr>
                <w:noProof/>
                <w:webHidden/>
              </w:rPr>
              <w:fldChar w:fldCharType="end"/>
            </w:r>
          </w:hyperlink>
        </w:p>
        <w:p w14:paraId="15266CA4" w14:textId="1867BF5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6" w:history="1">
            <w:r w:rsidRPr="00384636">
              <w:rPr>
                <w:rStyle w:val="Hipervnculo"/>
                <w:noProof/>
                <w:lang w:val="es-MX"/>
              </w:rPr>
              <w:t>2.3.5.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Tutoría entre pares, integración y evaluación</w:t>
            </w:r>
            <w:r>
              <w:rPr>
                <w:noProof/>
                <w:webHidden/>
              </w:rPr>
              <w:tab/>
            </w:r>
            <w:r>
              <w:rPr>
                <w:noProof/>
                <w:webHidden/>
              </w:rPr>
              <w:fldChar w:fldCharType="begin"/>
            </w:r>
            <w:r>
              <w:rPr>
                <w:noProof/>
                <w:webHidden/>
              </w:rPr>
              <w:instrText xml:space="preserve"> PAGEREF _Toc239440896 \h </w:instrText>
            </w:r>
            <w:r>
              <w:rPr>
                <w:noProof/>
                <w:webHidden/>
              </w:rPr>
            </w:r>
            <w:r>
              <w:rPr>
                <w:noProof/>
                <w:webHidden/>
              </w:rPr>
              <w:fldChar w:fldCharType="separate"/>
            </w:r>
            <w:r>
              <w:rPr>
                <w:noProof/>
                <w:webHidden/>
              </w:rPr>
              <w:t>52</w:t>
            </w:r>
            <w:r>
              <w:rPr>
                <w:noProof/>
                <w:webHidden/>
              </w:rPr>
              <w:fldChar w:fldCharType="end"/>
            </w:r>
          </w:hyperlink>
        </w:p>
        <w:p w14:paraId="7E228F1D" w14:textId="348ED55C"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7" w:history="1">
            <w:r w:rsidRPr="00384636">
              <w:rPr>
                <w:rStyle w:val="Hipervnculo"/>
                <w:noProof/>
                <w:lang w:val="es-MX"/>
              </w:rPr>
              <w:t>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Nuevas funciones del docente universitario</w:t>
            </w:r>
            <w:r>
              <w:rPr>
                <w:noProof/>
                <w:webHidden/>
              </w:rPr>
              <w:tab/>
            </w:r>
            <w:r>
              <w:rPr>
                <w:noProof/>
                <w:webHidden/>
              </w:rPr>
              <w:fldChar w:fldCharType="begin"/>
            </w:r>
            <w:r>
              <w:rPr>
                <w:noProof/>
                <w:webHidden/>
              </w:rPr>
              <w:instrText xml:space="preserve"> PAGEREF _Toc239440897 \h </w:instrText>
            </w:r>
            <w:r>
              <w:rPr>
                <w:noProof/>
                <w:webHidden/>
              </w:rPr>
            </w:r>
            <w:r>
              <w:rPr>
                <w:noProof/>
                <w:webHidden/>
              </w:rPr>
              <w:fldChar w:fldCharType="separate"/>
            </w:r>
            <w:r>
              <w:rPr>
                <w:noProof/>
                <w:webHidden/>
              </w:rPr>
              <w:t>53</w:t>
            </w:r>
            <w:r>
              <w:rPr>
                <w:noProof/>
                <w:webHidden/>
              </w:rPr>
              <w:fldChar w:fldCharType="end"/>
            </w:r>
          </w:hyperlink>
        </w:p>
        <w:p w14:paraId="0ED94CF1" w14:textId="0AE649C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8" w:history="1">
            <w:r w:rsidRPr="00384636">
              <w:rPr>
                <w:rStyle w:val="Hipervnculo"/>
                <w:noProof/>
                <w:lang w:val="es-MX"/>
              </w:rPr>
              <w:t>2.4.1.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Diseño, curaduría y mediación pedagógica</w:t>
            </w:r>
            <w:r>
              <w:rPr>
                <w:noProof/>
                <w:webHidden/>
              </w:rPr>
              <w:tab/>
            </w:r>
            <w:r>
              <w:rPr>
                <w:noProof/>
                <w:webHidden/>
              </w:rPr>
              <w:fldChar w:fldCharType="begin"/>
            </w:r>
            <w:r>
              <w:rPr>
                <w:noProof/>
                <w:webHidden/>
              </w:rPr>
              <w:instrText xml:space="preserve"> PAGEREF _Toc239440898 \h </w:instrText>
            </w:r>
            <w:r>
              <w:rPr>
                <w:noProof/>
                <w:webHidden/>
              </w:rPr>
            </w:r>
            <w:r>
              <w:rPr>
                <w:noProof/>
                <w:webHidden/>
              </w:rPr>
              <w:fldChar w:fldCharType="separate"/>
            </w:r>
            <w:r>
              <w:rPr>
                <w:noProof/>
                <w:webHidden/>
              </w:rPr>
              <w:t>53</w:t>
            </w:r>
            <w:r>
              <w:rPr>
                <w:noProof/>
                <w:webHidden/>
              </w:rPr>
              <w:fldChar w:fldCharType="end"/>
            </w:r>
          </w:hyperlink>
        </w:p>
        <w:p w14:paraId="41696157" w14:textId="0015B2A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899" w:history="1">
            <w:r w:rsidRPr="00384636">
              <w:rPr>
                <w:rStyle w:val="Hipervnculo"/>
                <w:noProof/>
                <w:lang w:val="es-MX"/>
              </w:rPr>
              <w:t>2.4.2.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Evaluación, interpretación de datos, mentoría y ética</w:t>
            </w:r>
            <w:r>
              <w:rPr>
                <w:noProof/>
                <w:webHidden/>
              </w:rPr>
              <w:tab/>
            </w:r>
            <w:r>
              <w:rPr>
                <w:noProof/>
                <w:webHidden/>
              </w:rPr>
              <w:fldChar w:fldCharType="begin"/>
            </w:r>
            <w:r>
              <w:rPr>
                <w:noProof/>
                <w:webHidden/>
              </w:rPr>
              <w:instrText xml:space="preserve"> PAGEREF _Toc239440899 \h </w:instrText>
            </w:r>
            <w:r>
              <w:rPr>
                <w:noProof/>
                <w:webHidden/>
              </w:rPr>
            </w:r>
            <w:r>
              <w:rPr>
                <w:noProof/>
                <w:webHidden/>
              </w:rPr>
              <w:fldChar w:fldCharType="separate"/>
            </w:r>
            <w:r>
              <w:rPr>
                <w:noProof/>
                <w:webHidden/>
              </w:rPr>
              <w:t>54</w:t>
            </w:r>
            <w:r>
              <w:rPr>
                <w:noProof/>
                <w:webHidden/>
              </w:rPr>
              <w:fldChar w:fldCharType="end"/>
            </w:r>
          </w:hyperlink>
        </w:p>
        <w:p w14:paraId="02C80B65" w14:textId="6AA3A68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0" w:history="1">
            <w:r w:rsidRPr="00384636">
              <w:rPr>
                <w:rStyle w:val="Hipervnculo"/>
                <w:noProof/>
                <w:lang w:val="es-MX"/>
              </w:rPr>
              <w:t>2.4.3.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Investigación, formación profesional y comunidades de práctica</w:t>
            </w:r>
            <w:r>
              <w:rPr>
                <w:noProof/>
                <w:webHidden/>
              </w:rPr>
              <w:tab/>
            </w:r>
            <w:r>
              <w:rPr>
                <w:noProof/>
                <w:webHidden/>
              </w:rPr>
              <w:fldChar w:fldCharType="begin"/>
            </w:r>
            <w:r>
              <w:rPr>
                <w:noProof/>
                <w:webHidden/>
              </w:rPr>
              <w:instrText xml:space="preserve"> PAGEREF _Toc239440900 \h </w:instrText>
            </w:r>
            <w:r>
              <w:rPr>
                <w:noProof/>
                <w:webHidden/>
              </w:rPr>
            </w:r>
            <w:r>
              <w:rPr>
                <w:noProof/>
                <w:webHidden/>
              </w:rPr>
              <w:fldChar w:fldCharType="separate"/>
            </w:r>
            <w:r>
              <w:rPr>
                <w:noProof/>
                <w:webHidden/>
              </w:rPr>
              <w:t>56</w:t>
            </w:r>
            <w:r>
              <w:rPr>
                <w:noProof/>
                <w:webHidden/>
              </w:rPr>
              <w:fldChar w:fldCharType="end"/>
            </w:r>
          </w:hyperlink>
        </w:p>
        <w:p w14:paraId="4F69CB6D" w14:textId="5B88C8A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1" w:history="1">
            <w:r w:rsidRPr="00384636">
              <w:rPr>
                <w:rStyle w:val="Hipervnculo"/>
                <w:noProof/>
                <w:lang w:val="es-MX"/>
              </w:rPr>
              <w:t>2.4.4.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Agencia docente, transparencia y liderazgo académico</w:t>
            </w:r>
            <w:r>
              <w:rPr>
                <w:noProof/>
                <w:webHidden/>
              </w:rPr>
              <w:tab/>
            </w:r>
            <w:r>
              <w:rPr>
                <w:noProof/>
                <w:webHidden/>
              </w:rPr>
              <w:fldChar w:fldCharType="begin"/>
            </w:r>
            <w:r>
              <w:rPr>
                <w:noProof/>
                <w:webHidden/>
              </w:rPr>
              <w:instrText xml:space="preserve"> PAGEREF _Toc239440901 \h </w:instrText>
            </w:r>
            <w:r>
              <w:rPr>
                <w:noProof/>
                <w:webHidden/>
              </w:rPr>
            </w:r>
            <w:r>
              <w:rPr>
                <w:noProof/>
                <w:webHidden/>
              </w:rPr>
              <w:fldChar w:fldCharType="separate"/>
            </w:r>
            <w:r>
              <w:rPr>
                <w:noProof/>
                <w:webHidden/>
              </w:rPr>
              <w:t>57</w:t>
            </w:r>
            <w:r>
              <w:rPr>
                <w:noProof/>
                <w:webHidden/>
              </w:rPr>
              <w:fldChar w:fldCharType="end"/>
            </w:r>
          </w:hyperlink>
        </w:p>
        <w:p w14:paraId="28ADF51C" w14:textId="486C8D1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2" w:history="1">
            <w:r w:rsidRPr="00384636">
              <w:rPr>
                <w:rStyle w:val="Hipervnculo"/>
                <w:noProof/>
                <w:lang w:val="es-MX"/>
              </w:rPr>
              <w:t>2.4.5.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Distribución de funciones, identidad y futuro docente</w:t>
            </w:r>
            <w:r>
              <w:rPr>
                <w:noProof/>
                <w:webHidden/>
              </w:rPr>
              <w:tab/>
            </w:r>
            <w:r>
              <w:rPr>
                <w:noProof/>
                <w:webHidden/>
              </w:rPr>
              <w:fldChar w:fldCharType="begin"/>
            </w:r>
            <w:r>
              <w:rPr>
                <w:noProof/>
                <w:webHidden/>
              </w:rPr>
              <w:instrText xml:space="preserve"> PAGEREF _Toc239440902 \h </w:instrText>
            </w:r>
            <w:r>
              <w:rPr>
                <w:noProof/>
                <w:webHidden/>
              </w:rPr>
            </w:r>
            <w:r>
              <w:rPr>
                <w:noProof/>
                <w:webHidden/>
              </w:rPr>
              <w:fldChar w:fldCharType="separate"/>
            </w:r>
            <w:r>
              <w:rPr>
                <w:noProof/>
                <w:webHidden/>
              </w:rPr>
              <w:t>58</w:t>
            </w:r>
            <w:r>
              <w:rPr>
                <w:noProof/>
                <w:webHidden/>
              </w:rPr>
              <w:fldChar w:fldCharType="end"/>
            </w:r>
          </w:hyperlink>
        </w:p>
        <w:p w14:paraId="34A0FBDA" w14:textId="32E90A3D"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0903" w:history="1">
            <w:r w:rsidRPr="00384636">
              <w:rPr>
                <w:rStyle w:val="Hipervnculo"/>
                <w:bCs/>
                <w:noProof/>
              </w:rPr>
              <w:t>3.</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 xml:space="preserve">Capítulo 3: </w:t>
            </w:r>
            <w:r w:rsidRPr="00384636">
              <w:rPr>
                <w:rStyle w:val="Hipervnculo"/>
                <w:bCs/>
                <w:noProof/>
              </w:rPr>
              <w:t>Evaluación del aprendizaje con inteligencia artificial</w:t>
            </w:r>
            <w:r>
              <w:rPr>
                <w:noProof/>
                <w:webHidden/>
              </w:rPr>
              <w:tab/>
            </w:r>
            <w:r>
              <w:rPr>
                <w:noProof/>
                <w:webHidden/>
              </w:rPr>
              <w:fldChar w:fldCharType="begin"/>
            </w:r>
            <w:r>
              <w:rPr>
                <w:noProof/>
                <w:webHidden/>
              </w:rPr>
              <w:instrText xml:space="preserve"> PAGEREF _Toc239440903 \h </w:instrText>
            </w:r>
            <w:r>
              <w:rPr>
                <w:noProof/>
                <w:webHidden/>
              </w:rPr>
            </w:r>
            <w:r>
              <w:rPr>
                <w:noProof/>
                <w:webHidden/>
              </w:rPr>
              <w:fldChar w:fldCharType="separate"/>
            </w:r>
            <w:r>
              <w:rPr>
                <w:noProof/>
                <w:webHidden/>
              </w:rPr>
              <w:t>60</w:t>
            </w:r>
            <w:r>
              <w:rPr>
                <w:noProof/>
                <w:webHidden/>
              </w:rPr>
              <w:fldChar w:fldCharType="end"/>
            </w:r>
          </w:hyperlink>
        </w:p>
        <w:p w14:paraId="1EEABB61" w14:textId="2CCEE313"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4" w:history="1">
            <w:r w:rsidRPr="00384636">
              <w:rPr>
                <w:rStyle w:val="Hipervnculo"/>
                <w:noProof/>
                <w:lang w:val="es-MX"/>
              </w:rPr>
              <w:t>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Evaluación formativa y automatizada</w:t>
            </w:r>
            <w:r>
              <w:rPr>
                <w:noProof/>
                <w:webHidden/>
              </w:rPr>
              <w:tab/>
            </w:r>
            <w:r>
              <w:rPr>
                <w:noProof/>
                <w:webHidden/>
              </w:rPr>
              <w:fldChar w:fldCharType="begin"/>
            </w:r>
            <w:r>
              <w:rPr>
                <w:noProof/>
                <w:webHidden/>
              </w:rPr>
              <w:instrText xml:space="preserve"> PAGEREF _Toc239440904 \h </w:instrText>
            </w:r>
            <w:r>
              <w:rPr>
                <w:noProof/>
                <w:webHidden/>
              </w:rPr>
            </w:r>
            <w:r>
              <w:rPr>
                <w:noProof/>
                <w:webHidden/>
              </w:rPr>
              <w:fldChar w:fldCharType="separate"/>
            </w:r>
            <w:r>
              <w:rPr>
                <w:noProof/>
                <w:webHidden/>
              </w:rPr>
              <w:t>62</w:t>
            </w:r>
            <w:r>
              <w:rPr>
                <w:noProof/>
                <w:webHidden/>
              </w:rPr>
              <w:fldChar w:fldCharType="end"/>
            </w:r>
          </w:hyperlink>
        </w:p>
        <w:p w14:paraId="2E234245" w14:textId="0D72AE2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5" w:history="1">
            <w:r w:rsidRPr="00384636">
              <w:rPr>
                <w:rStyle w:val="Hipervnculo"/>
                <w:noProof/>
                <w:lang w:val="es-MX"/>
              </w:rPr>
              <w:t>3.1.1.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Propósitos, modalidades y alineación de la evaluación</w:t>
            </w:r>
            <w:r>
              <w:rPr>
                <w:noProof/>
                <w:webHidden/>
              </w:rPr>
              <w:tab/>
            </w:r>
            <w:r>
              <w:rPr>
                <w:noProof/>
                <w:webHidden/>
              </w:rPr>
              <w:fldChar w:fldCharType="begin"/>
            </w:r>
            <w:r>
              <w:rPr>
                <w:noProof/>
                <w:webHidden/>
              </w:rPr>
              <w:instrText xml:space="preserve"> PAGEREF _Toc239440905 \h </w:instrText>
            </w:r>
            <w:r>
              <w:rPr>
                <w:noProof/>
                <w:webHidden/>
              </w:rPr>
            </w:r>
            <w:r>
              <w:rPr>
                <w:noProof/>
                <w:webHidden/>
              </w:rPr>
              <w:fldChar w:fldCharType="separate"/>
            </w:r>
            <w:r>
              <w:rPr>
                <w:noProof/>
                <w:webHidden/>
              </w:rPr>
              <w:t>62</w:t>
            </w:r>
            <w:r>
              <w:rPr>
                <w:noProof/>
                <w:webHidden/>
              </w:rPr>
              <w:fldChar w:fldCharType="end"/>
            </w:r>
          </w:hyperlink>
        </w:p>
        <w:p w14:paraId="19B2163A" w14:textId="358A3EB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6" w:history="1">
            <w:r w:rsidRPr="00384636">
              <w:rPr>
                <w:rStyle w:val="Hipervnculo"/>
                <w:noProof/>
                <w:lang w:val="es-MX"/>
              </w:rPr>
              <w:t>3.1.2.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Diagnóstico, ítems seleccionados y respuestas construidas</w:t>
            </w:r>
            <w:r>
              <w:rPr>
                <w:noProof/>
                <w:webHidden/>
              </w:rPr>
              <w:tab/>
            </w:r>
            <w:r>
              <w:rPr>
                <w:noProof/>
                <w:webHidden/>
              </w:rPr>
              <w:fldChar w:fldCharType="begin"/>
            </w:r>
            <w:r>
              <w:rPr>
                <w:noProof/>
                <w:webHidden/>
              </w:rPr>
              <w:instrText xml:space="preserve"> PAGEREF _Toc239440906 \h </w:instrText>
            </w:r>
            <w:r>
              <w:rPr>
                <w:noProof/>
                <w:webHidden/>
              </w:rPr>
            </w:r>
            <w:r>
              <w:rPr>
                <w:noProof/>
                <w:webHidden/>
              </w:rPr>
              <w:fldChar w:fldCharType="separate"/>
            </w:r>
            <w:r>
              <w:rPr>
                <w:noProof/>
                <w:webHidden/>
              </w:rPr>
              <w:t>62</w:t>
            </w:r>
            <w:r>
              <w:rPr>
                <w:noProof/>
                <w:webHidden/>
              </w:rPr>
              <w:fldChar w:fldCharType="end"/>
            </w:r>
          </w:hyperlink>
        </w:p>
        <w:p w14:paraId="600B7BA5" w14:textId="79BB44C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7" w:history="1">
            <w:r w:rsidRPr="00384636">
              <w:rPr>
                <w:rStyle w:val="Hipervnculo"/>
                <w:noProof/>
                <w:lang w:val="es-MX"/>
              </w:rPr>
              <w:t>3.1.3.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Evidencia automatizada, simulaciones y portafolios</w:t>
            </w:r>
            <w:r>
              <w:rPr>
                <w:noProof/>
                <w:webHidden/>
              </w:rPr>
              <w:tab/>
            </w:r>
            <w:r>
              <w:rPr>
                <w:noProof/>
                <w:webHidden/>
              </w:rPr>
              <w:fldChar w:fldCharType="begin"/>
            </w:r>
            <w:r>
              <w:rPr>
                <w:noProof/>
                <w:webHidden/>
              </w:rPr>
              <w:instrText xml:space="preserve"> PAGEREF _Toc239440907 \h </w:instrText>
            </w:r>
            <w:r>
              <w:rPr>
                <w:noProof/>
                <w:webHidden/>
              </w:rPr>
            </w:r>
            <w:r>
              <w:rPr>
                <w:noProof/>
                <w:webHidden/>
              </w:rPr>
              <w:fldChar w:fldCharType="separate"/>
            </w:r>
            <w:r>
              <w:rPr>
                <w:noProof/>
                <w:webHidden/>
              </w:rPr>
              <w:t>64</w:t>
            </w:r>
            <w:r>
              <w:rPr>
                <w:noProof/>
                <w:webHidden/>
              </w:rPr>
              <w:fldChar w:fldCharType="end"/>
            </w:r>
          </w:hyperlink>
        </w:p>
        <w:p w14:paraId="33935B35" w14:textId="64C35724"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8" w:history="1">
            <w:r w:rsidRPr="00384636">
              <w:rPr>
                <w:rStyle w:val="Hipervnculo"/>
                <w:noProof/>
                <w:lang w:val="es-MX"/>
              </w:rPr>
              <w:t>3.1.4.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Evaluación oral, entre pares, autoevaluación y analítica</w:t>
            </w:r>
            <w:r>
              <w:rPr>
                <w:noProof/>
                <w:webHidden/>
              </w:rPr>
              <w:tab/>
            </w:r>
            <w:r>
              <w:rPr>
                <w:noProof/>
                <w:webHidden/>
              </w:rPr>
              <w:fldChar w:fldCharType="begin"/>
            </w:r>
            <w:r>
              <w:rPr>
                <w:noProof/>
                <w:webHidden/>
              </w:rPr>
              <w:instrText xml:space="preserve"> PAGEREF _Toc239440908 \h </w:instrText>
            </w:r>
            <w:r>
              <w:rPr>
                <w:noProof/>
                <w:webHidden/>
              </w:rPr>
            </w:r>
            <w:r>
              <w:rPr>
                <w:noProof/>
                <w:webHidden/>
              </w:rPr>
              <w:fldChar w:fldCharType="separate"/>
            </w:r>
            <w:r>
              <w:rPr>
                <w:noProof/>
                <w:webHidden/>
              </w:rPr>
              <w:t>65</w:t>
            </w:r>
            <w:r>
              <w:rPr>
                <w:noProof/>
                <w:webHidden/>
              </w:rPr>
              <w:fldChar w:fldCharType="end"/>
            </w:r>
          </w:hyperlink>
        </w:p>
        <w:p w14:paraId="371EDA2B" w14:textId="687B860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09" w:history="1">
            <w:r w:rsidRPr="00384636">
              <w:rPr>
                <w:rStyle w:val="Hipervnculo"/>
                <w:noProof/>
                <w:lang w:val="es-MX"/>
              </w:rPr>
              <w:t>3.1.5.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Evaluación continua, adaptativa y de bajo impacto</w:t>
            </w:r>
            <w:r>
              <w:rPr>
                <w:noProof/>
                <w:webHidden/>
              </w:rPr>
              <w:tab/>
            </w:r>
            <w:r>
              <w:rPr>
                <w:noProof/>
                <w:webHidden/>
              </w:rPr>
              <w:fldChar w:fldCharType="begin"/>
            </w:r>
            <w:r>
              <w:rPr>
                <w:noProof/>
                <w:webHidden/>
              </w:rPr>
              <w:instrText xml:space="preserve"> PAGEREF _Toc239440909 \h </w:instrText>
            </w:r>
            <w:r>
              <w:rPr>
                <w:noProof/>
                <w:webHidden/>
              </w:rPr>
            </w:r>
            <w:r>
              <w:rPr>
                <w:noProof/>
                <w:webHidden/>
              </w:rPr>
              <w:fldChar w:fldCharType="separate"/>
            </w:r>
            <w:r>
              <w:rPr>
                <w:noProof/>
                <w:webHidden/>
              </w:rPr>
              <w:t>66</w:t>
            </w:r>
            <w:r>
              <w:rPr>
                <w:noProof/>
                <w:webHidden/>
              </w:rPr>
              <w:fldChar w:fldCharType="end"/>
            </w:r>
          </w:hyperlink>
        </w:p>
        <w:p w14:paraId="35A47C43" w14:textId="4DEFBCFD"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0" w:history="1">
            <w:r w:rsidRPr="00384636">
              <w:rPr>
                <w:rStyle w:val="Hipervnculo"/>
                <w:noProof/>
                <w:lang w:val="es-MX"/>
              </w:rPr>
              <w:t>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Retroalimentación inteligente</w:t>
            </w:r>
            <w:r>
              <w:rPr>
                <w:noProof/>
                <w:webHidden/>
              </w:rPr>
              <w:tab/>
            </w:r>
            <w:r>
              <w:rPr>
                <w:noProof/>
                <w:webHidden/>
              </w:rPr>
              <w:fldChar w:fldCharType="begin"/>
            </w:r>
            <w:r>
              <w:rPr>
                <w:noProof/>
                <w:webHidden/>
              </w:rPr>
              <w:instrText xml:space="preserve"> PAGEREF _Toc239440910 \h </w:instrText>
            </w:r>
            <w:r>
              <w:rPr>
                <w:noProof/>
                <w:webHidden/>
              </w:rPr>
            </w:r>
            <w:r>
              <w:rPr>
                <w:noProof/>
                <w:webHidden/>
              </w:rPr>
              <w:fldChar w:fldCharType="separate"/>
            </w:r>
            <w:r>
              <w:rPr>
                <w:noProof/>
                <w:webHidden/>
              </w:rPr>
              <w:t>67</w:t>
            </w:r>
            <w:r>
              <w:rPr>
                <w:noProof/>
                <w:webHidden/>
              </w:rPr>
              <w:fldChar w:fldCharType="end"/>
            </w:r>
          </w:hyperlink>
        </w:p>
        <w:p w14:paraId="023FEB9D" w14:textId="77E9720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1" w:history="1">
            <w:r w:rsidRPr="00384636">
              <w:rPr>
                <w:rStyle w:val="Hipervnculo"/>
                <w:noProof/>
                <w:lang w:val="es-MX"/>
              </w:rPr>
              <w:t>3.2.1.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Fundamentos, oportunidad y especificidad</w:t>
            </w:r>
            <w:r>
              <w:rPr>
                <w:noProof/>
                <w:webHidden/>
              </w:rPr>
              <w:tab/>
            </w:r>
            <w:r>
              <w:rPr>
                <w:noProof/>
                <w:webHidden/>
              </w:rPr>
              <w:fldChar w:fldCharType="begin"/>
            </w:r>
            <w:r>
              <w:rPr>
                <w:noProof/>
                <w:webHidden/>
              </w:rPr>
              <w:instrText xml:space="preserve"> PAGEREF _Toc239440911 \h </w:instrText>
            </w:r>
            <w:r>
              <w:rPr>
                <w:noProof/>
                <w:webHidden/>
              </w:rPr>
            </w:r>
            <w:r>
              <w:rPr>
                <w:noProof/>
                <w:webHidden/>
              </w:rPr>
              <w:fldChar w:fldCharType="separate"/>
            </w:r>
            <w:r>
              <w:rPr>
                <w:noProof/>
                <w:webHidden/>
              </w:rPr>
              <w:t>67</w:t>
            </w:r>
            <w:r>
              <w:rPr>
                <w:noProof/>
                <w:webHidden/>
              </w:rPr>
              <w:fldChar w:fldCharType="end"/>
            </w:r>
          </w:hyperlink>
        </w:p>
        <w:p w14:paraId="693E8E45" w14:textId="311F19E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2" w:history="1">
            <w:r w:rsidRPr="00384636">
              <w:rPr>
                <w:rStyle w:val="Hipervnculo"/>
                <w:noProof/>
                <w:lang w:val="es-MX"/>
              </w:rPr>
              <w:t>3.2.2.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Niveles, diálogo y alfabetización de retroalimentación</w:t>
            </w:r>
            <w:r>
              <w:rPr>
                <w:noProof/>
                <w:webHidden/>
              </w:rPr>
              <w:tab/>
            </w:r>
            <w:r>
              <w:rPr>
                <w:noProof/>
                <w:webHidden/>
              </w:rPr>
              <w:fldChar w:fldCharType="begin"/>
            </w:r>
            <w:r>
              <w:rPr>
                <w:noProof/>
                <w:webHidden/>
              </w:rPr>
              <w:instrText xml:space="preserve"> PAGEREF _Toc239440912 \h </w:instrText>
            </w:r>
            <w:r>
              <w:rPr>
                <w:noProof/>
                <w:webHidden/>
              </w:rPr>
            </w:r>
            <w:r>
              <w:rPr>
                <w:noProof/>
                <w:webHidden/>
              </w:rPr>
              <w:fldChar w:fldCharType="separate"/>
            </w:r>
            <w:r>
              <w:rPr>
                <w:noProof/>
                <w:webHidden/>
              </w:rPr>
              <w:t>68</w:t>
            </w:r>
            <w:r>
              <w:rPr>
                <w:noProof/>
                <w:webHidden/>
              </w:rPr>
              <w:fldChar w:fldCharType="end"/>
            </w:r>
          </w:hyperlink>
        </w:p>
        <w:p w14:paraId="1FE4DBAA" w14:textId="578FD17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3" w:history="1">
            <w:r w:rsidRPr="00384636">
              <w:rPr>
                <w:rStyle w:val="Hipervnculo"/>
                <w:noProof/>
                <w:lang w:val="es-MX"/>
              </w:rPr>
              <w:t>3.2.3.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Ejemplos, pistas graduadas y multimodalidad</w:t>
            </w:r>
            <w:r>
              <w:rPr>
                <w:noProof/>
                <w:webHidden/>
              </w:rPr>
              <w:tab/>
            </w:r>
            <w:r>
              <w:rPr>
                <w:noProof/>
                <w:webHidden/>
              </w:rPr>
              <w:fldChar w:fldCharType="begin"/>
            </w:r>
            <w:r>
              <w:rPr>
                <w:noProof/>
                <w:webHidden/>
              </w:rPr>
              <w:instrText xml:space="preserve"> PAGEREF _Toc239440913 \h </w:instrText>
            </w:r>
            <w:r>
              <w:rPr>
                <w:noProof/>
                <w:webHidden/>
              </w:rPr>
            </w:r>
            <w:r>
              <w:rPr>
                <w:noProof/>
                <w:webHidden/>
              </w:rPr>
              <w:fldChar w:fldCharType="separate"/>
            </w:r>
            <w:r>
              <w:rPr>
                <w:noProof/>
                <w:webHidden/>
              </w:rPr>
              <w:t>68</w:t>
            </w:r>
            <w:r>
              <w:rPr>
                <w:noProof/>
                <w:webHidden/>
              </w:rPr>
              <w:fldChar w:fldCharType="end"/>
            </w:r>
          </w:hyperlink>
        </w:p>
        <w:p w14:paraId="29CBD722" w14:textId="360C6C8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4" w:history="1">
            <w:r w:rsidRPr="00384636">
              <w:rPr>
                <w:rStyle w:val="Hipervnculo"/>
                <w:noProof/>
                <w:lang w:val="es-MX"/>
              </w:rPr>
              <w:t>3.2.4.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Personalización, tono y retroalimentación colectiva</w:t>
            </w:r>
            <w:r>
              <w:rPr>
                <w:noProof/>
                <w:webHidden/>
              </w:rPr>
              <w:tab/>
            </w:r>
            <w:r>
              <w:rPr>
                <w:noProof/>
                <w:webHidden/>
              </w:rPr>
              <w:fldChar w:fldCharType="begin"/>
            </w:r>
            <w:r>
              <w:rPr>
                <w:noProof/>
                <w:webHidden/>
              </w:rPr>
              <w:instrText xml:space="preserve"> PAGEREF _Toc239440914 \h </w:instrText>
            </w:r>
            <w:r>
              <w:rPr>
                <w:noProof/>
                <w:webHidden/>
              </w:rPr>
            </w:r>
            <w:r>
              <w:rPr>
                <w:noProof/>
                <w:webHidden/>
              </w:rPr>
              <w:fldChar w:fldCharType="separate"/>
            </w:r>
            <w:r>
              <w:rPr>
                <w:noProof/>
                <w:webHidden/>
              </w:rPr>
              <w:t>69</w:t>
            </w:r>
            <w:r>
              <w:rPr>
                <w:noProof/>
                <w:webHidden/>
              </w:rPr>
              <w:fldChar w:fldCharType="end"/>
            </w:r>
          </w:hyperlink>
        </w:p>
        <w:p w14:paraId="0C090D0B" w14:textId="00FD7D2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5" w:history="1">
            <w:r w:rsidRPr="00384636">
              <w:rPr>
                <w:rStyle w:val="Hipervnculo"/>
                <w:noProof/>
                <w:lang w:val="es-MX"/>
              </w:rPr>
              <w:t>3.2.5.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Control docente, efectividad, ética y transferencia</w:t>
            </w:r>
            <w:r>
              <w:rPr>
                <w:noProof/>
                <w:webHidden/>
              </w:rPr>
              <w:tab/>
            </w:r>
            <w:r>
              <w:rPr>
                <w:noProof/>
                <w:webHidden/>
              </w:rPr>
              <w:fldChar w:fldCharType="begin"/>
            </w:r>
            <w:r>
              <w:rPr>
                <w:noProof/>
                <w:webHidden/>
              </w:rPr>
              <w:instrText xml:space="preserve"> PAGEREF _Toc239440915 \h </w:instrText>
            </w:r>
            <w:r>
              <w:rPr>
                <w:noProof/>
                <w:webHidden/>
              </w:rPr>
            </w:r>
            <w:r>
              <w:rPr>
                <w:noProof/>
                <w:webHidden/>
              </w:rPr>
              <w:fldChar w:fldCharType="separate"/>
            </w:r>
            <w:r>
              <w:rPr>
                <w:noProof/>
                <w:webHidden/>
              </w:rPr>
              <w:t>70</w:t>
            </w:r>
            <w:r>
              <w:rPr>
                <w:noProof/>
                <w:webHidden/>
              </w:rPr>
              <w:fldChar w:fldCharType="end"/>
            </w:r>
          </w:hyperlink>
        </w:p>
        <w:p w14:paraId="524622BB" w14:textId="7638193F"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6" w:history="1">
            <w:r w:rsidRPr="00384636">
              <w:rPr>
                <w:rStyle w:val="Hipervnculo"/>
                <w:noProof/>
                <w:lang w:val="es-MX"/>
              </w:rPr>
              <w:t>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Diseño de instrumentos y rúbricas</w:t>
            </w:r>
            <w:r>
              <w:rPr>
                <w:noProof/>
                <w:webHidden/>
              </w:rPr>
              <w:tab/>
            </w:r>
            <w:r>
              <w:rPr>
                <w:noProof/>
                <w:webHidden/>
              </w:rPr>
              <w:fldChar w:fldCharType="begin"/>
            </w:r>
            <w:r>
              <w:rPr>
                <w:noProof/>
                <w:webHidden/>
              </w:rPr>
              <w:instrText xml:space="preserve"> PAGEREF _Toc239440916 \h </w:instrText>
            </w:r>
            <w:r>
              <w:rPr>
                <w:noProof/>
                <w:webHidden/>
              </w:rPr>
            </w:r>
            <w:r>
              <w:rPr>
                <w:noProof/>
                <w:webHidden/>
              </w:rPr>
              <w:fldChar w:fldCharType="separate"/>
            </w:r>
            <w:r>
              <w:rPr>
                <w:noProof/>
                <w:webHidden/>
              </w:rPr>
              <w:t>72</w:t>
            </w:r>
            <w:r>
              <w:rPr>
                <w:noProof/>
                <w:webHidden/>
              </w:rPr>
              <w:fldChar w:fldCharType="end"/>
            </w:r>
          </w:hyperlink>
        </w:p>
        <w:p w14:paraId="67AF4190" w14:textId="2879F94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7" w:history="1">
            <w:r w:rsidRPr="00384636">
              <w:rPr>
                <w:rStyle w:val="Hipervnculo"/>
                <w:noProof/>
                <w:lang w:val="es-MX"/>
              </w:rPr>
              <w:t>3.3.1.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Constructo, tabla de especificaciones y autenticidad</w:t>
            </w:r>
            <w:r>
              <w:rPr>
                <w:noProof/>
                <w:webHidden/>
              </w:rPr>
              <w:tab/>
            </w:r>
            <w:r>
              <w:rPr>
                <w:noProof/>
                <w:webHidden/>
              </w:rPr>
              <w:fldChar w:fldCharType="begin"/>
            </w:r>
            <w:r>
              <w:rPr>
                <w:noProof/>
                <w:webHidden/>
              </w:rPr>
              <w:instrText xml:space="preserve"> PAGEREF _Toc239440917 \h </w:instrText>
            </w:r>
            <w:r>
              <w:rPr>
                <w:noProof/>
                <w:webHidden/>
              </w:rPr>
            </w:r>
            <w:r>
              <w:rPr>
                <w:noProof/>
                <w:webHidden/>
              </w:rPr>
              <w:fldChar w:fldCharType="separate"/>
            </w:r>
            <w:r>
              <w:rPr>
                <w:noProof/>
                <w:webHidden/>
              </w:rPr>
              <w:t>72</w:t>
            </w:r>
            <w:r>
              <w:rPr>
                <w:noProof/>
                <w:webHidden/>
              </w:rPr>
              <w:fldChar w:fldCharType="end"/>
            </w:r>
          </w:hyperlink>
        </w:p>
        <w:p w14:paraId="49732527" w14:textId="0CE8CA9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8" w:history="1">
            <w:r w:rsidRPr="00384636">
              <w:rPr>
                <w:rStyle w:val="Hipervnculo"/>
                <w:noProof/>
                <w:lang w:val="es-MX"/>
              </w:rPr>
              <w:t>3.3.2.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Instrucciones, tipos de rúbrica y criterios</w:t>
            </w:r>
            <w:r>
              <w:rPr>
                <w:noProof/>
                <w:webHidden/>
              </w:rPr>
              <w:tab/>
            </w:r>
            <w:r>
              <w:rPr>
                <w:noProof/>
                <w:webHidden/>
              </w:rPr>
              <w:fldChar w:fldCharType="begin"/>
            </w:r>
            <w:r>
              <w:rPr>
                <w:noProof/>
                <w:webHidden/>
              </w:rPr>
              <w:instrText xml:space="preserve"> PAGEREF _Toc239440918 \h </w:instrText>
            </w:r>
            <w:r>
              <w:rPr>
                <w:noProof/>
                <w:webHidden/>
              </w:rPr>
            </w:r>
            <w:r>
              <w:rPr>
                <w:noProof/>
                <w:webHidden/>
              </w:rPr>
              <w:fldChar w:fldCharType="separate"/>
            </w:r>
            <w:r>
              <w:rPr>
                <w:noProof/>
                <w:webHidden/>
              </w:rPr>
              <w:t>73</w:t>
            </w:r>
            <w:r>
              <w:rPr>
                <w:noProof/>
                <w:webHidden/>
              </w:rPr>
              <w:fldChar w:fldCharType="end"/>
            </w:r>
          </w:hyperlink>
        </w:p>
        <w:p w14:paraId="61651BF6" w14:textId="7D387E4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19" w:history="1">
            <w:r w:rsidRPr="00384636">
              <w:rPr>
                <w:rStyle w:val="Hipervnculo"/>
                <w:noProof/>
                <w:lang w:val="es-MX"/>
              </w:rPr>
              <w:t>3.3.3.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Descriptores, ejemplos ancla y ponderación</w:t>
            </w:r>
            <w:r>
              <w:rPr>
                <w:noProof/>
                <w:webHidden/>
              </w:rPr>
              <w:tab/>
            </w:r>
            <w:r>
              <w:rPr>
                <w:noProof/>
                <w:webHidden/>
              </w:rPr>
              <w:fldChar w:fldCharType="begin"/>
            </w:r>
            <w:r>
              <w:rPr>
                <w:noProof/>
                <w:webHidden/>
              </w:rPr>
              <w:instrText xml:space="preserve"> PAGEREF _Toc239440919 \h </w:instrText>
            </w:r>
            <w:r>
              <w:rPr>
                <w:noProof/>
                <w:webHidden/>
              </w:rPr>
            </w:r>
            <w:r>
              <w:rPr>
                <w:noProof/>
                <w:webHidden/>
              </w:rPr>
              <w:fldChar w:fldCharType="separate"/>
            </w:r>
            <w:r>
              <w:rPr>
                <w:noProof/>
                <w:webHidden/>
              </w:rPr>
              <w:t>74</w:t>
            </w:r>
            <w:r>
              <w:rPr>
                <w:noProof/>
                <w:webHidden/>
              </w:rPr>
              <w:fldChar w:fldCharType="end"/>
            </w:r>
          </w:hyperlink>
        </w:p>
        <w:p w14:paraId="7EEEA18D" w14:textId="7599E6A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0" w:history="1">
            <w:r w:rsidRPr="00384636">
              <w:rPr>
                <w:rStyle w:val="Hipervnculo"/>
                <w:noProof/>
                <w:lang w:val="es-MX"/>
              </w:rPr>
              <w:t>3.3.4.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Inclusión, evaluación programática y declaración de uso</w:t>
            </w:r>
            <w:r>
              <w:rPr>
                <w:noProof/>
                <w:webHidden/>
              </w:rPr>
              <w:tab/>
            </w:r>
            <w:r>
              <w:rPr>
                <w:noProof/>
                <w:webHidden/>
              </w:rPr>
              <w:fldChar w:fldCharType="begin"/>
            </w:r>
            <w:r>
              <w:rPr>
                <w:noProof/>
                <w:webHidden/>
              </w:rPr>
              <w:instrText xml:space="preserve"> PAGEREF _Toc239440920 \h </w:instrText>
            </w:r>
            <w:r>
              <w:rPr>
                <w:noProof/>
                <w:webHidden/>
              </w:rPr>
            </w:r>
            <w:r>
              <w:rPr>
                <w:noProof/>
                <w:webHidden/>
              </w:rPr>
              <w:fldChar w:fldCharType="separate"/>
            </w:r>
            <w:r>
              <w:rPr>
                <w:noProof/>
                <w:webHidden/>
              </w:rPr>
              <w:t>75</w:t>
            </w:r>
            <w:r>
              <w:rPr>
                <w:noProof/>
                <w:webHidden/>
              </w:rPr>
              <w:fldChar w:fldCharType="end"/>
            </w:r>
          </w:hyperlink>
        </w:p>
        <w:p w14:paraId="23B8A1B9" w14:textId="43C6E96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1" w:history="1">
            <w:r w:rsidRPr="00384636">
              <w:rPr>
                <w:rStyle w:val="Hipervnculo"/>
                <w:noProof/>
                <w:lang w:val="es-MX"/>
              </w:rPr>
              <w:t>3.3.5.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Detectores, pilotaje, revisión y participación estudiantil</w:t>
            </w:r>
            <w:r>
              <w:rPr>
                <w:noProof/>
                <w:webHidden/>
              </w:rPr>
              <w:tab/>
            </w:r>
            <w:r>
              <w:rPr>
                <w:noProof/>
                <w:webHidden/>
              </w:rPr>
              <w:fldChar w:fldCharType="begin"/>
            </w:r>
            <w:r>
              <w:rPr>
                <w:noProof/>
                <w:webHidden/>
              </w:rPr>
              <w:instrText xml:space="preserve"> PAGEREF _Toc239440921 \h </w:instrText>
            </w:r>
            <w:r>
              <w:rPr>
                <w:noProof/>
                <w:webHidden/>
              </w:rPr>
            </w:r>
            <w:r>
              <w:rPr>
                <w:noProof/>
                <w:webHidden/>
              </w:rPr>
              <w:fldChar w:fldCharType="separate"/>
            </w:r>
            <w:r>
              <w:rPr>
                <w:noProof/>
                <w:webHidden/>
              </w:rPr>
              <w:t>76</w:t>
            </w:r>
            <w:r>
              <w:rPr>
                <w:noProof/>
                <w:webHidden/>
              </w:rPr>
              <w:fldChar w:fldCharType="end"/>
            </w:r>
          </w:hyperlink>
        </w:p>
        <w:p w14:paraId="7D2107A7" w14:textId="21707BD3"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2" w:history="1">
            <w:r w:rsidRPr="00384636">
              <w:rPr>
                <w:rStyle w:val="Hipervnculo"/>
                <w:noProof/>
                <w:lang w:val="es-MX"/>
              </w:rPr>
              <w:t>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Validez, sesgos y supervisión humana</w:t>
            </w:r>
            <w:r>
              <w:rPr>
                <w:noProof/>
                <w:webHidden/>
              </w:rPr>
              <w:tab/>
            </w:r>
            <w:r>
              <w:rPr>
                <w:noProof/>
                <w:webHidden/>
              </w:rPr>
              <w:fldChar w:fldCharType="begin"/>
            </w:r>
            <w:r>
              <w:rPr>
                <w:noProof/>
                <w:webHidden/>
              </w:rPr>
              <w:instrText xml:space="preserve"> PAGEREF _Toc239440922 \h </w:instrText>
            </w:r>
            <w:r>
              <w:rPr>
                <w:noProof/>
                <w:webHidden/>
              </w:rPr>
            </w:r>
            <w:r>
              <w:rPr>
                <w:noProof/>
                <w:webHidden/>
              </w:rPr>
              <w:fldChar w:fldCharType="separate"/>
            </w:r>
            <w:r>
              <w:rPr>
                <w:noProof/>
                <w:webHidden/>
              </w:rPr>
              <w:t>77</w:t>
            </w:r>
            <w:r>
              <w:rPr>
                <w:noProof/>
                <w:webHidden/>
              </w:rPr>
              <w:fldChar w:fldCharType="end"/>
            </w:r>
          </w:hyperlink>
        </w:p>
        <w:p w14:paraId="772F7C83" w14:textId="218AE8B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3" w:history="1">
            <w:r w:rsidRPr="00384636">
              <w:rPr>
                <w:rStyle w:val="Hipervnculo"/>
                <w:noProof/>
                <w:lang w:val="es-MX"/>
              </w:rPr>
              <w:t>3.4.1.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Validez, representatividad y confiabilidad</w:t>
            </w:r>
            <w:r>
              <w:rPr>
                <w:noProof/>
                <w:webHidden/>
              </w:rPr>
              <w:tab/>
            </w:r>
            <w:r>
              <w:rPr>
                <w:noProof/>
                <w:webHidden/>
              </w:rPr>
              <w:fldChar w:fldCharType="begin"/>
            </w:r>
            <w:r>
              <w:rPr>
                <w:noProof/>
                <w:webHidden/>
              </w:rPr>
              <w:instrText xml:space="preserve"> PAGEREF _Toc239440923 \h </w:instrText>
            </w:r>
            <w:r>
              <w:rPr>
                <w:noProof/>
                <w:webHidden/>
              </w:rPr>
            </w:r>
            <w:r>
              <w:rPr>
                <w:noProof/>
                <w:webHidden/>
              </w:rPr>
              <w:fldChar w:fldCharType="separate"/>
            </w:r>
            <w:r>
              <w:rPr>
                <w:noProof/>
                <w:webHidden/>
              </w:rPr>
              <w:t>77</w:t>
            </w:r>
            <w:r>
              <w:rPr>
                <w:noProof/>
                <w:webHidden/>
              </w:rPr>
              <w:fldChar w:fldCharType="end"/>
            </w:r>
          </w:hyperlink>
        </w:p>
        <w:p w14:paraId="73C8AEB0" w14:textId="0BE1DEA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4" w:history="1">
            <w:r w:rsidRPr="00384636">
              <w:rPr>
                <w:rStyle w:val="Hipervnculo"/>
                <w:noProof/>
                <w:lang w:val="es-MX"/>
              </w:rPr>
              <w:t>3.4.2.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Concordancia, equidad e interacción de sesgos</w:t>
            </w:r>
            <w:r>
              <w:rPr>
                <w:noProof/>
                <w:webHidden/>
              </w:rPr>
              <w:tab/>
            </w:r>
            <w:r>
              <w:rPr>
                <w:noProof/>
                <w:webHidden/>
              </w:rPr>
              <w:fldChar w:fldCharType="begin"/>
            </w:r>
            <w:r>
              <w:rPr>
                <w:noProof/>
                <w:webHidden/>
              </w:rPr>
              <w:instrText xml:space="preserve"> PAGEREF _Toc239440924 \h </w:instrText>
            </w:r>
            <w:r>
              <w:rPr>
                <w:noProof/>
                <w:webHidden/>
              </w:rPr>
            </w:r>
            <w:r>
              <w:rPr>
                <w:noProof/>
                <w:webHidden/>
              </w:rPr>
              <w:fldChar w:fldCharType="separate"/>
            </w:r>
            <w:r>
              <w:rPr>
                <w:noProof/>
                <w:webHidden/>
              </w:rPr>
              <w:t>77</w:t>
            </w:r>
            <w:r>
              <w:rPr>
                <w:noProof/>
                <w:webHidden/>
              </w:rPr>
              <w:fldChar w:fldCharType="end"/>
            </w:r>
          </w:hyperlink>
        </w:p>
        <w:p w14:paraId="74E294F0" w14:textId="2940E674"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5" w:history="1">
            <w:r w:rsidRPr="00384636">
              <w:rPr>
                <w:rStyle w:val="Hipervnculo"/>
                <w:noProof/>
                <w:lang w:val="es-MX"/>
              </w:rPr>
              <w:t>3.4.3.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Explicabilidad, transparencia y privacidad</w:t>
            </w:r>
            <w:r>
              <w:rPr>
                <w:noProof/>
                <w:webHidden/>
              </w:rPr>
              <w:tab/>
            </w:r>
            <w:r>
              <w:rPr>
                <w:noProof/>
                <w:webHidden/>
              </w:rPr>
              <w:fldChar w:fldCharType="begin"/>
            </w:r>
            <w:r>
              <w:rPr>
                <w:noProof/>
                <w:webHidden/>
              </w:rPr>
              <w:instrText xml:space="preserve"> PAGEREF _Toc239440925 \h </w:instrText>
            </w:r>
            <w:r>
              <w:rPr>
                <w:noProof/>
                <w:webHidden/>
              </w:rPr>
            </w:r>
            <w:r>
              <w:rPr>
                <w:noProof/>
                <w:webHidden/>
              </w:rPr>
              <w:fldChar w:fldCharType="separate"/>
            </w:r>
            <w:r>
              <w:rPr>
                <w:noProof/>
                <w:webHidden/>
              </w:rPr>
              <w:t>78</w:t>
            </w:r>
            <w:r>
              <w:rPr>
                <w:noProof/>
                <w:webHidden/>
              </w:rPr>
              <w:fldChar w:fldCharType="end"/>
            </w:r>
          </w:hyperlink>
        </w:p>
        <w:p w14:paraId="3378B6E5" w14:textId="54AAADC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6" w:history="1">
            <w:r w:rsidRPr="00384636">
              <w:rPr>
                <w:rStyle w:val="Hipervnculo"/>
                <w:noProof/>
                <w:lang w:val="es-MX"/>
              </w:rPr>
              <w:t>3.4.4.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Seguridad, supervisión, apelación y monitoreo</w:t>
            </w:r>
            <w:r>
              <w:rPr>
                <w:noProof/>
                <w:webHidden/>
              </w:rPr>
              <w:tab/>
            </w:r>
            <w:r>
              <w:rPr>
                <w:noProof/>
                <w:webHidden/>
              </w:rPr>
              <w:fldChar w:fldCharType="begin"/>
            </w:r>
            <w:r>
              <w:rPr>
                <w:noProof/>
                <w:webHidden/>
              </w:rPr>
              <w:instrText xml:space="preserve"> PAGEREF _Toc239440926 \h </w:instrText>
            </w:r>
            <w:r>
              <w:rPr>
                <w:noProof/>
                <w:webHidden/>
              </w:rPr>
            </w:r>
            <w:r>
              <w:rPr>
                <w:noProof/>
                <w:webHidden/>
              </w:rPr>
              <w:fldChar w:fldCharType="separate"/>
            </w:r>
            <w:r>
              <w:rPr>
                <w:noProof/>
                <w:webHidden/>
              </w:rPr>
              <w:t>79</w:t>
            </w:r>
            <w:r>
              <w:rPr>
                <w:noProof/>
                <w:webHidden/>
              </w:rPr>
              <w:fldChar w:fldCharType="end"/>
            </w:r>
          </w:hyperlink>
        </w:p>
        <w:p w14:paraId="390D44D6" w14:textId="757AEAA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7" w:history="1">
            <w:r w:rsidRPr="00384636">
              <w:rPr>
                <w:rStyle w:val="Hipervnculo"/>
                <w:noProof/>
                <w:lang w:val="es-MX"/>
              </w:rPr>
              <w:t>3.4.5.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Gobernanza, formación, proporcionalidad y consecuencias</w:t>
            </w:r>
            <w:r>
              <w:rPr>
                <w:noProof/>
                <w:webHidden/>
              </w:rPr>
              <w:tab/>
            </w:r>
            <w:r>
              <w:rPr>
                <w:noProof/>
                <w:webHidden/>
              </w:rPr>
              <w:fldChar w:fldCharType="begin"/>
            </w:r>
            <w:r>
              <w:rPr>
                <w:noProof/>
                <w:webHidden/>
              </w:rPr>
              <w:instrText xml:space="preserve"> PAGEREF _Toc239440927 \h </w:instrText>
            </w:r>
            <w:r>
              <w:rPr>
                <w:noProof/>
                <w:webHidden/>
              </w:rPr>
            </w:r>
            <w:r>
              <w:rPr>
                <w:noProof/>
                <w:webHidden/>
              </w:rPr>
              <w:fldChar w:fldCharType="separate"/>
            </w:r>
            <w:r>
              <w:rPr>
                <w:noProof/>
                <w:webHidden/>
              </w:rPr>
              <w:t>80</w:t>
            </w:r>
            <w:r>
              <w:rPr>
                <w:noProof/>
                <w:webHidden/>
              </w:rPr>
              <w:fldChar w:fldCharType="end"/>
            </w:r>
          </w:hyperlink>
        </w:p>
        <w:p w14:paraId="4D1690D2" w14:textId="3941305E"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0928" w:history="1">
            <w:r w:rsidRPr="00384636">
              <w:rPr>
                <w:rStyle w:val="Hipervnculo"/>
                <w:noProof/>
              </w:rPr>
              <w:t>4.</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Capítulo 4 Inteligencia artificial en la investigación y producción científica</w:t>
            </w:r>
            <w:r>
              <w:rPr>
                <w:noProof/>
                <w:webHidden/>
              </w:rPr>
              <w:tab/>
            </w:r>
            <w:r>
              <w:rPr>
                <w:noProof/>
                <w:webHidden/>
              </w:rPr>
              <w:fldChar w:fldCharType="begin"/>
            </w:r>
            <w:r>
              <w:rPr>
                <w:noProof/>
                <w:webHidden/>
              </w:rPr>
              <w:instrText xml:space="preserve"> PAGEREF _Toc239440928 \h </w:instrText>
            </w:r>
            <w:r>
              <w:rPr>
                <w:noProof/>
                <w:webHidden/>
              </w:rPr>
            </w:r>
            <w:r>
              <w:rPr>
                <w:noProof/>
                <w:webHidden/>
              </w:rPr>
              <w:fldChar w:fldCharType="separate"/>
            </w:r>
            <w:r>
              <w:rPr>
                <w:noProof/>
                <w:webHidden/>
              </w:rPr>
              <w:t>82</w:t>
            </w:r>
            <w:r>
              <w:rPr>
                <w:noProof/>
                <w:webHidden/>
              </w:rPr>
              <w:fldChar w:fldCharType="end"/>
            </w:r>
          </w:hyperlink>
        </w:p>
        <w:p w14:paraId="75BEA246" w14:textId="55260056"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29" w:history="1">
            <w:r w:rsidRPr="00384636">
              <w:rPr>
                <w:rStyle w:val="Hipervnculo"/>
                <w:noProof/>
                <w:lang w:val="es-MX"/>
              </w:rPr>
              <w:t>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Búsqueda y síntesis de información</w:t>
            </w:r>
            <w:r>
              <w:rPr>
                <w:noProof/>
                <w:webHidden/>
              </w:rPr>
              <w:tab/>
            </w:r>
            <w:r>
              <w:rPr>
                <w:noProof/>
                <w:webHidden/>
              </w:rPr>
              <w:fldChar w:fldCharType="begin"/>
            </w:r>
            <w:r>
              <w:rPr>
                <w:noProof/>
                <w:webHidden/>
              </w:rPr>
              <w:instrText xml:space="preserve"> PAGEREF _Toc239440929 \h </w:instrText>
            </w:r>
            <w:r>
              <w:rPr>
                <w:noProof/>
                <w:webHidden/>
              </w:rPr>
            </w:r>
            <w:r>
              <w:rPr>
                <w:noProof/>
                <w:webHidden/>
              </w:rPr>
              <w:fldChar w:fldCharType="separate"/>
            </w:r>
            <w:r>
              <w:rPr>
                <w:noProof/>
                <w:webHidden/>
              </w:rPr>
              <w:t>84</w:t>
            </w:r>
            <w:r>
              <w:rPr>
                <w:noProof/>
                <w:webHidden/>
              </w:rPr>
              <w:fldChar w:fldCharType="end"/>
            </w:r>
          </w:hyperlink>
        </w:p>
        <w:p w14:paraId="2D645D67" w14:textId="2E72FE9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0" w:history="1">
            <w:r w:rsidRPr="00384636">
              <w:rPr>
                <w:rStyle w:val="Hipervnculo"/>
                <w:noProof/>
              </w:rPr>
              <w:t>4.1.1.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rPr>
              <w:t>Pregunta, exploración y selección de fuentes</w:t>
            </w:r>
            <w:r>
              <w:rPr>
                <w:noProof/>
                <w:webHidden/>
              </w:rPr>
              <w:tab/>
            </w:r>
            <w:r>
              <w:rPr>
                <w:noProof/>
                <w:webHidden/>
              </w:rPr>
              <w:fldChar w:fldCharType="begin"/>
            </w:r>
            <w:r>
              <w:rPr>
                <w:noProof/>
                <w:webHidden/>
              </w:rPr>
              <w:instrText xml:space="preserve"> PAGEREF _Toc239440930 \h </w:instrText>
            </w:r>
            <w:r>
              <w:rPr>
                <w:noProof/>
                <w:webHidden/>
              </w:rPr>
            </w:r>
            <w:r>
              <w:rPr>
                <w:noProof/>
                <w:webHidden/>
              </w:rPr>
              <w:fldChar w:fldCharType="separate"/>
            </w:r>
            <w:r>
              <w:rPr>
                <w:noProof/>
                <w:webHidden/>
              </w:rPr>
              <w:t>84</w:t>
            </w:r>
            <w:r>
              <w:rPr>
                <w:noProof/>
                <w:webHidden/>
              </w:rPr>
              <w:fldChar w:fldCharType="end"/>
            </w:r>
          </w:hyperlink>
        </w:p>
        <w:p w14:paraId="7E600990" w14:textId="469B67A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1" w:history="1">
            <w:r w:rsidRPr="00384636">
              <w:rPr>
                <w:rStyle w:val="Hipervnculo"/>
                <w:noProof/>
                <w:lang w:val="es-MX"/>
              </w:rPr>
              <w:t>4.1.2.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Estrategias, búsqueda semántica y verificación</w:t>
            </w:r>
            <w:r>
              <w:rPr>
                <w:noProof/>
                <w:webHidden/>
              </w:rPr>
              <w:tab/>
            </w:r>
            <w:r>
              <w:rPr>
                <w:noProof/>
                <w:webHidden/>
              </w:rPr>
              <w:fldChar w:fldCharType="begin"/>
            </w:r>
            <w:r>
              <w:rPr>
                <w:noProof/>
                <w:webHidden/>
              </w:rPr>
              <w:instrText xml:space="preserve"> PAGEREF _Toc239440931 \h </w:instrText>
            </w:r>
            <w:r>
              <w:rPr>
                <w:noProof/>
                <w:webHidden/>
              </w:rPr>
            </w:r>
            <w:r>
              <w:rPr>
                <w:noProof/>
                <w:webHidden/>
              </w:rPr>
              <w:fldChar w:fldCharType="separate"/>
            </w:r>
            <w:r>
              <w:rPr>
                <w:noProof/>
                <w:webHidden/>
              </w:rPr>
              <w:t>85</w:t>
            </w:r>
            <w:r>
              <w:rPr>
                <w:noProof/>
                <w:webHidden/>
              </w:rPr>
              <w:fldChar w:fldCharType="end"/>
            </w:r>
          </w:hyperlink>
        </w:p>
        <w:p w14:paraId="455BCEA6" w14:textId="1238D33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2" w:history="1">
            <w:r w:rsidRPr="00384636">
              <w:rPr>
                <w:rStyle w:val="Hipervnculo"/>
                <w:noProof/>
                <w:lang w:val="es-MX"/>
              </w:rPr>
              <w:t>4.1.3.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Cribado, deduplicación y extracción de evidencia</w:t>
            </w:r>
            <w:r>
              <w:rPr>
                <w:noProof/>
                <w:webHidden/>
              </w:rPr>
              <w:tab/>
            </w:r>
            <w:r>
              <w:rPr>
                <w:noProof/>
                <w:webHidden/>
              </w:rPr>
              <w:fldChar w:fldCharType="begin"/>
            </w:r>
            <w:r>
              <w:rPr>
                <w:noProof/>
                <w:webHidden/>
              </w:rPr>
              <w:instrText xml:space="preserve"> PAGEREF _Toc239440932 \h </w:instrText>
            </w:r>
            <w:r>
              <w:rPr>
                <w:noProof/>
                <w:webHidden/>
              </w:rPr>
            </w:r>
            <w:r>
              <w:rPr>
                <w:noProof/>
                <w:webHidden/>
              </w:rPr>
              <w:fldChar w:fldCharType="separate"/>
            </w:r>
            <w:r>
              <w:rPr>
                <w:noProof/>
                <w:webHidden/>
              </w:rPr>
              <w:t>86</w:t>
            </w:r>
            <w:r>
              <w:rPr>
                <w:noProof/>
                <w:webHidden/>
              </w:rPr>
              <w:fldChar w:fldCharType="end"/>
            </w:r>
          </w:hyperlink>
        </w:p>
        <w:p w14:paraId="6E13A186" w14:textId="5897F32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3" w:history="1">
            <w:r w:rsidRPr="00384636">
              <w:rPr>
                <w:rStyle w:val="Hipervnculo"/>
                <w:noProof/>
                <w:lang w:val="es-MX"/>
              </w:rPr>
              <w:t>4.1.4.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Síntesis narrativa, cuantitativa y actualización</w:t>
            </w:r>
            <w:r>
              <w:rPr>
                <w:noProof/>
                <w:webHidden/>
              </w:rPr>
              <w:tab/>
            </w:r>
            <w:r>
              <w:rPr>
                <w:noProof/>
                <w:webHidden/>
              </w:rPr>
              <w:fldChar w:fldCharType="begin"/>
            </w:r>
            <w:r>
              <w:rPr>
                <w:noProof/>
                <w:webHidden/>
              </w:rPr>
              <w:instrText xml:space="preserve"> PAGEREF _Toc239440933 \h </w:instrText>
            </w:r>
            <w:r>
              <w:rPr>
                <w:noProof/>
                <w:webHidden/>
              </w:rPr>
            </w:r>
            <w:r>
              <w:rPr>
                <w:noProof/>
                <w:webHidden/>
              </w:rPr>
              <w:fldChar w:fldCharType="separate"/>
            </w:r>
            <w:r>
              <w:rPr>
                <w:noProof/>
                <w:webHidden/>
              </w:rPr>
              <w:t>87</w:t>
            </w:r>
            <w:r>
              <w:rPr>
                <w:noProof/>
                <w:webHidden/>
              </w:rPr>
              <w:fldChar w:fldCharType="end"/>
            </w:r>
          </w:hyperlink>
        </w:p>
        <w:p w14:paraId="02288F1D" w14:textId="1F5A821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4" w:history="1">
            <w:r w:rsidRPr="00384636">
              <w:rPr>
                <w:rStyle w:val="Hipervnculo"/>
                <w:noProof/>
                <w:lang w:val="es-MX"/>
              </w:rPr>
              <w:t>4.1.5.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Gestión bibliográfica, transparencia y control de fuentes</w:t>
            </w:r>
            <w:r>
              <w:rPr>
                <w:noProof/>
                <w:webHidden/>
              </w:rPr>
              <w:tab/>
            </w:r>
            <w:r>
              <w:rPr>
                <w:noProof/>
                <w:webHidden/>
              </w:rPr>
              <w:fldChar w:fldCharType="begin"/>
            </w:r>
            <w:r>
              <w:rPr>
                <w:noProof/>
                <w:webHidden/>
              </w:rPr>
              <w:instrText xml:space="preserve"> PAGEREF _Toc239440934 \h </w:instrText>
            </w:r>
            <w:r>
              <w:rPr>
                <w:noProof/>
                <w:webHidden/>
              </w:rPr>
            </w:r>
            <w:r>
              <w:rPr>
                <w:noProof/>
                <w:webHidden/>
              </w:rPr>
              <w:fldChar w:fldCharType="separate"/>
            </w:r>
            <w:r>
              <w:rPr>
                <w:noProof/>
                <w:webHidden/>
              </w:rPr>
              <w:t>88</w:t>
            </w:r>
            <w:r>
              <w:rPr>
                <w:noProof/>
                <w:webHidden/>
              </w:rPr>
              <w:fldChar w:fldCharType="end"/>
            </w:r>
          </w:hyperlink>
        </w:p>
        <w:p w14:paraId="690701B5" w14:textId="670AC782"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5" w:history="1">
            <w:r w:rsidRPr="00384636">
              <w:rPr>
                <w:rStyle w:val="Hipervnculo"/>
                <w:noProof/>
                <w:lang w:val="es-MX"/>
              </w:rPr>
              <w:t>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Apoyo a la escritura académica</w:t>
            </w:r>
            <w:r>
              <w:rPr>
                <w:noProof/>
                <w:webHidden/>
              </w:rPr>
              <w:tab/>
            </w:r>
            <w:r>
              <w:rPr>
                <w:noProof/>
                <w:webHidden/>
              </w:rPr>
              <w:fldChar w:fldCharType="begin"/>
            </w:r>
            <w:r>
              <w:rPr>
                <w:noProof/>
                <w:webHidden/>
              </w:rPr>
              <w:instrText xml:space="preserve"> PAGEREF _Toc239440935 \h </w:instrText>
            </w:r>
            <w:r>
              <w:rPr>
                <w:noProof/>
                <w:webHidden/>
              </w:rPr>
            </w:r>
            <w:r>
              <w:rPr>
                <w:noProof/>
                <w:webHidden/>
              </w:rPr>
              <w:fldChar w:fldCharType="separate"/>
            </w:r>
            <w:r>
              <w:rPr>
                <w:noProof/>
                <w:webHidden/>
              </w:rPr>
              <w:t>89</w:t>
            </w:r>
            <w:r>
              <w:rPr>
                <w:noProof/>
                <w:webHidden/>
              </w:rPr>
              <w:fldChar w:fldCharType="end"/>
            </w:r>
          </w:hyperlink>
        </w:p>
        <w:p w14:paraId="4CD9631C" w14:textId="1B82132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6" w:history="1">
            <w:r w:rsidRPr="00384636">
              <w:rPr>
                <w:rStyle w:val="Hipervnculo"/>
                <w:noProof/>
                <w:lang w:val="es-MX"/>
              </w:rPr>
              <w:t>4.2.1.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Planificación, argumentación y coherencia académica</w:t>
            </w:r>
            <w:r>
              <w:rPr>
                <w:noProof/>
                <w:webHidden/>
              </w:rPr>
              <w:tab/>
            </w:r>
            <w:r>
              <w:rPr>
                <w:noProof/>
                <w:webHidden/>
              </w:rPr>
              <w:fldChar w:fldCharType="begin"/>
            </w:r>
            <w:r>
              <w:rPr>
                <w:noProof/>
                <w:webHidden/>
              </w:rPr>
              <w:instrText xml:space="preserve"> PAGEREF _Toc239440936 \h </w:instrText>
            </w:r>
            <w:r>
              <w:rPr>
                <w:noProof/>
                <w:webHidden/>
              </w:rPr>
            </w:r>
            <w:r>
              <w:rPr>
                <w:noProof/>
                <w:webHidden/>
              </w:rPr>
              <w:fldChar w:fldCharType="separate"/>
            </w:r>
            <w:r>
              <w:rPr>
                <w:noProof/>
                <w:webHidden/>
              </w:rPr>
              <w:t>89</w:t>
            </w:r>
            <w:r>
              <w:rPr>
                <w:noProof/>
                <w:webHidden/>
              </w:rPr>
              <w:fldChar w:fldCharType="end"/>
            </w:r>
          </w:hyperlink>
        </w:p>
        <w:p w14:paraId="4ABBF84C" w14:textId="1F8406D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7" w:history="1">
            <w:r w:rsidRPr="00384636">
              <w:rPr>
                <w:rStyle w:val="Hipervnculo"/>
                <w:noProof/>
                <w:lang w:val="es-MX"/>
              </w:rPr>
              <w:t>4.2.2.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Paráfrasis, citas y verificación bibliográfica</w:t>
            </w:r>
            <w:r>
              <w:rPr>
                <w:noProof/>
                <w:webHidden/>
              </w:rPr>
              <w:tab/>
            </w:r>
            <w:r>
              <w:rPr>
                <w:noProof/>
                <w:webHidden/>
              </w:rPr>
              <w:fldChar w:fldCharType="begin"/>
            </w:r>
            <w:r>
              <w:rPr>
                <w:noProof/>
                <w:webHidden/>
              </w:rPr>
              <w:instrText xml:space="preserve"> PAGEREF _Toc239440937 \h </w:instrText>
            </w:r>
            <w:r>
              <w:rPr>
                <w:noProof/>
                <w:webHidden/>
              </w:rPr>
            </w:r>
            <w:r>
              <w:rPr>
                <w:noProof/>
                <w:webHidden/>
              </w:rPr>
              <w:fldChar w:fldCharType="separate"/>
            </w:r>
            <w:r>
              <w:rPr>
                <w:noProof/>
                <w:webHidden/>
              </w:rPr>
              <w:t>90</w:t>
            </w:r>
            <w:r>
              <w:rPr>
                <w:noProof/>
                <w:webHidden/>
              </w:rPr>
              <w:fldChar w:fldCharType="end"/>
            </w:r>
          </w:hyperlink>
        </w:p>
        <w:p w14:paraId="28314E42" w14:textId="63E0DFD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8" w:history="1">
            <w:r w:rsidRPr="00384636">
              <w:rPr>
                <w:rStyle w:val="Hipervnculo"/>
                <w:noProof/>
                <w:lang w:val="es-MX"/>
              </w:rPr>
              <w:t>4.2.3.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Estilo, traducción, resúmenes y títulos</w:t>
            </w:r>
            <w:r>
              <w:rPr>
                <w:noProof/>
                <w:webHidden/>
              </w:rPr>
              <w:tab/>
            </w:r>
            <w:r>
              <w:rPr>
                <w:noProof/>
                <w:webHidden/>
              </w:rPr>
              <w:fldChar w:fldCharType="begin"/>
            </w:r>
            <w:r>
              <w:rPr>
                <w:noProof/>
                <w:webHidden/>
              </w:rPr>
              <w:instrText xml:space="preserve"> PAGEREF _Toc239440938 \h </w:instrText>
            </w:r>
            <w:r>
              <w:rPr>
                <w:noProof/>
                <w:webHidden/>
              </w:rPr>
            </w:r>
            <w:r>
              <w:rPr>
                <w:noProof/>
                <w:webHidden/>
              </w:rPr>
              <w:fldChar w:fldCharType="separate"/>
            </w:r>
            <w:r>
              <w:rPr>
                <w:noProof/>
                <w:webHidden/>
              </w:rPr>
              <w:t>91</w:t>
            </w:r>
            <w:r>
              <w:rPr>
                <w:noProof/>
                <w:webHidden/>
              </w:rPr>
              <w:fldChar w:fldCharType="end"/>
            </w:r>
          </w:hyperlink>
        </w:p>
        <w:p w14:paraId="0693FADE" w14:textId="263B766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39" w:history="1">
            <w:r w:rsidRPr="00384636">
              <w:rPr>
                <w:rStyle w:val="Hipervnculo"/>
                <w:noProof/>
                <w:lang w:val="es-MX"/>
              </w:rPr>
              <w:t>4.2.4.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Métodos, resultados, discusión y revisión colaborativa</w:t>
            </w:r>
            <w:r>
              <w:rPr>
                <w:noProof/>
                <w:webHidden/>
              </w:rPr>
              <w:tab/>
            </w:r>
            <w:r>
              <w:rPr>
                <w:noProof/>
                <w:webHidden/>
              </w:rPr>
              <w:fldChar w:fldCharType="begin"/>
            </w:r>
            <w:r>
              <w:rPr>
                <w:noProof/>
                <w:webHidden/>
              </w:rPr>
              <w:instrText xml:space="preserve"> PAGEREF _Toc239440939 \h </w:instrText>
            </w:r>
            <w:r>
              <w:rPr>
                <w:noProof/>
                <w:webHidden/>
              </w:rPr>
            </w:r>
            <w:r>
              <w:rPr>
                <w:noProof/>
                <w:webHidden/>
              </w:rPr>
              <w:fldChar w:fldCharType="separate"/>
            </w:r>
            <w:r>
              <w:rPr>
                <w:noProof/>
                <w:webHidden/>
              </w:rPr>
              <w:t>91</w:t>
            </w:r>
            <w:r>
              <w:rPr>
                <w:noProof/>
                <w:webHidden/>
              </w:rPr>
              <w:fldChar w:fldCharType="end"/>
            </w:r>
          </w:hyperlink>
        </w:p>
        <w:p w14:paraId="760BD5A9" w14:textId="3C8B29D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0" w:history="1">
            <w:r w:rsidRPr="00384636">
              <w:rPr>
                <w:rStyle w:val="Hipervnculo"/>
                <w:noProof/>
                <w:lang w:val="es-MX"/>
              </w:rPr>
              <w:t>4.2.5.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Inclusión, declaración de uso y comunicación científica</w:t>
            </w:r>
            <w:r>
              <w:rPr>
                <w:noProof/>
                <w:webHidden/>
              </w:rPr>
              <w:tab/>
            </w:r>
            <w:r>
              <w:rPr>
                <w:noProof/>
                <w:webHidden/>
              </w:rPr>
              <w:fldChar w:fldCharType="begin"/>
            </w:r>
            <w:r>
              <w:rPr>
                <w:noProof/>
                <w:webHidden/>
              </w:rPr>
              <w:instrText xml:space="preserve"> PAGEREF _Toc239440940 \h </w:instrText>
            </w:r>
            <w:r>
              <w:rPr>
                <w:noProof/>
                <w:webHidden/>
              </w:rPr>
            </w:r>
            <w:r>
              <w:rPr>
                <w:noProof/>
                <w:webHidden/>
              </w:rPr>
              <w:fldChar w:fldCharType="separate"/>
            </w:r>
            <w:r>
              <w:rPr>
                <w:noProof/>
                <w:webHidden/>
              </w:rPr>
              <w:t>92</w:t>
            </w:r>
            <w:r>
              <w:rPr>
                <w:noProof/>
                <w:webHidden/>
              </w:rPr>
              <w:fldChar w:fldCharType="end"/>
            </w:r>
          </w:hyperlink>
        </w:p>
        <w:p w14:paraId="3F10AB62" w14:textId="29457B82"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1" w:history="1">
            <w:r w:rsidRPr="00384636">
              <w:rPr>
                <w:rStyle w:val="Hipervnculo"/>
                <w:noProof/>
                <w:lang w:val="es-MX"/>
              </w:rPr>
              <w:t>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Análisis de datos</w:t>
            </w:r>
            <w:r>
              <w:rPr>
                <w:noProof/>
                <w:webHidden/>
              </w:rPr>
              <w:tab/>
            </w:r>
            <w:r>
              <w:rPr>
                <w:noProof/>
                <w:webHidden/>
              </w:rPr>
              <w:fldChar w:fldCharType="begin"/>
            </w:r>
            <w:r>
              <w:rPr>
                <w:noProof/>
                <w:webHidden/>
              </w:rPr>
              <w:instrText xml:space="preserve"> PAGEREF _Toc239440941 \h </w:instrText>
            </w:r>
            <w:r>
              <w:rPr>
                <w:noProof/>
                <w:webHidden/>
              </w:rPr>
            </w:r>
            <w:r>
              <w:rPr>
                <w:noProof/>
                <w:webHidden/>
              </w:rPr>
              <w:fldChar w:fldCharType="separate"/>
            </w:r>
            <w:r>
              <w:rPr>
                <w:noProof/>
                <w:webHidden/>
              </w:rPr>
              <w:t>94</w:t>
            </w:r>
            <w:r>
              <w:rPr>
                <w:noProof/>
                <w:webHidden/>
              </w:rPr>
              <w:fldChar w:fldCharType="end"/>
            </w:r>
          </w:hyperlink>
        </w:p>
        <w:p w14:paraId="7D8B9328" w14:textId="38842BF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2" w:history="1">
            <w:r w:rsidRPr="00384636">
              <w:rPr>
                <w:rStyle w:val="Hipervnculo"/>
                <w:noProof/>
                <w:lang w:val="es-MX"/>
              </w:rPr>
              <w:t>4.3.1.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Diseño analítico, organización y calidad de los datos</w:t>
            </w:r>
            <w:r>
              <w:rPr>
                <w:noProof/>
                <w:webHidden/>
              </w:rPr>
              <w:tab/>
            </w:r>
            <w:r>
              <w:rPr>
                <w:noProof/>
                <w:webHidden/>
              </w:rPr>
              <w:fldChar w:fldCharType="begin"/>
            </w:r>
            <w:r>
              <w:rPr>
                <w:noProof/>
                <w:webHidden/>
              </w:rPr>
              <w:instrText xml:space="preserve"> PAGEREF _Toc239440942 \h </w:instrText>
            </w:r>
            <w:r>
              <w:rPr>
                <w:noProof/>
                <w:webHidden/>
              </w:rPr>
            </w:r>
            <w:r>
              <w:rPr>
                <w:noProof/>
                <w:webHidden/>
              </w:rPr>
              <w:fldChar w:fldCharType="separate"/>
            </w:r>
            <w:r>
              <w:rPr>
                <w:noProof/>
                <w:webHidden/>
              </w:rPr>
              <w:t>94</w:t>
            </w:r>
            <w:r>
              <w:rPr>
                <w:noProof/>
                <w:webHidden/>
              </w:rPr>
              <w:fldChar w:fldCharType="end"/>
            </w:r>
          </w:hyperlink>
        </w:p>
        <w:p w14:paraId="6E996D73" w14:textId="75464EF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3" w:history="1">
            <w:r w:rsidRPr="00384636">
              <w:rPr>
                <w:rStyle w:val="Hipervnculo"/>
                <w:noProof/>
                <w:lang w:val="es-MX"/>
              </w:rPr>
              <w:t>4.3.2.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Exploración, selección de modelos e inferencia</w:t>
            </w:r>
            <w:r>
              <w:rPr>
                <w:noProof/>
                <w:webHidden/>
              </w:rPr>
              <w:tab/>
            </w:r>
            <w:r>
              <w:rPr>
                <w:noProof/>
                <w:webHidden/>
              </w:rPr>
              <w:fldChar w:fldCharType="begin"/>
            </w:r>
            <w:r>
              <w:rPr>
                <w:noProof/>
                <w:webHidden/>
              </w:rPr>
              <w:instrText xml:space="preserve"> PAGEREF _Toc239440943 \h </w:instrText>
            </w:r>
            <w:r>
              <w:rPr>
                <w:noProof/>
                <w:webHidden/>
              </w:rPr>
            </w:r>
            <w:r>
              <w:rPr>
                <w:noProof/>
                <w:webHidden/>
              </w:rPr>
              <w:fldChar w:fldCharType="separate"/>
            </w:r>
            <w:r>
              <w:rPr>
                <w:noProof/>
                <w:webHidden/>
              </w:rPr>
              <w:t>95</w:t>
            </w:r>
            <w:r>
              <w:rPr>
                <w:noProof/>
                <w:webHidden/>
              </w:rPr>
              <w:fldChar w:fldCharType="end"/>
            </w:r>
          </w:hyperlink>
        </w:p>
        <w:p w14:paraId="0F08C1CD" w14:textId="1D5969B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4" w:history="1">
            <w:r w:rsidRPr="00384636">
              <w:rPr>
                <w:rStyle w:val="Hipervnculo"/>
                <w:noProof/>
                <w:lang w:val="es-MX"/>
              </w:rPr>
              <w:t>4.3.3.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Validación y análisis cualitativo y mixto</w:t>
            </w:r>
            <w:r>
              <w:rPr>
                <w:noProof/>
                <w:webHidden/>
              </w:rPr>
              <w:tab/>
            </w:r>
            <w:r>
              <w:rPr>
                <w:noProof/>
                <w:webHidden/>
              </w:rPr>
              <w:fldChar w:fldCharType="begin"/>
            </w:r>
            <w:r>
              <w:rPr>
                <w:noProof/>
                <w:webHidden/>
              </w:rPr>
              <w:instrText xml:space="preserve"> PAGEREF _Toc239440944 \h </w:instrText>
            </w:r>
            <w:r>
              <w:rPr>
                <w:noProof/>
                <w:webHidden/>
              </w:rPr>
            </w:r>
            <w:r>
              <w:rPr>
                <w:noProof/>
                <w:webHidden/>
              </w:rPr>
              <w:fldChar w:fldCharType="separate"/>
            </w:r>
            <w:r>
              <w:rPr>
                <w:noProof/>
                <w:webHidden/>
              </w:rPr>
              <w:t>96</w:t>
            </w:r>
            <w:r>
              <w:rPr>
                <w:noProof/>
                <w:webHidden/>
              </w:rPr>
              <w:fldChar w:fldCharType="end"/>
            </w:r>
          </w:hyperlink>
        </w:p>
        <w:p w14:paraId="5DFF9409" w14:textId="5AB9B93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5" w:history="1">
            <w:r w:rsidRPr="00384636">
              <w:rPr>
                <w:rStyle w:val="Hipervnculo"/>
                <w:noProof/>
                <w:lang w:val="es-MX"/>
              </w:rPr>
              <w:t>4.3.4.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Código, reproducibilidad, datos FAIR y documentación</w:t>
            </w:r>
            <w:r>
              <w:rPr>
                <w:noProof/>
                <w:webHidden/>
              </w:rPr>
              <w:tab/>
            </w:r>
            <w:r>
              <w:rPr>
                <w:noProof/>
                <w:webHidden/>
              </w:rPr>
              <w:fldChar w:fldCharType="begin"/>
            </w:r>
            <w:r>
              <w:rPr>
                <w:noProof/>
                <w:webHidden/>
              </w:rPr>
              <w:instrText xml:space="preserve"> PAGEREF _Toc239440945 \h </w:instrText>
            </w:r>
            <w:r>
              <w:rPr>
                <w:noProof/>
                <w:webHidden/>
              </w:rPr>
            </w:r>
            <w:r>
              <w:rPr>
                <w:noProof/>
                <w:webHidden/>
              </w:rPr>
              <w:fldChar w:fldCharType="separate"/>
            </w:r>
            <w:r>
              <w:rPr>
                <w:noProof/>
                <w:webHidden/>
              </w:rPr>
              <w:t>97</w:t>
            </w:r>
            <w:r>
              <w:rPr>
                <w:noProof/>
                <w:webHidden/>
              </w:rPr>
              <w:fldChar w:fldCharType="end"/>
            </w:r>
          </w:hyperlink>
        </w:p>
        <w:p w14:paraId="30DF10CF" w14:textId="0156E85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6" w:history="1">
            <w:r w:rsidRPr="00384636">
              <w:rPr>
                <w:rStyle w:val="Hipervnculo"/>
                <w:noProof/>
                <w:lang w:val="es-MX"/>
              </w:rPr>
              <w:t>4.3.5.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Interpretación, datos multimodales y bitácora analítica</w:t>
            </w:r>
            <w:r>
              <w:rPr>
                <w:noProof/>
                <w:webHidden/>
              </w:rPr>
              <w:tab/>
            </w:r>
            <w:r>
              <w:rPr>
                <w:noProof/>
                <w:webHidden/>
              </w:rPr>
              <w:fldChar w:fldCharType="begin"/>
            </w:r>
            <w:r>
              <w:rPr>
                <w:noProof/>
                <w:webHidden/>
              </w:rPr>
              <w:instrText xml:space="preserve"> PAGEREF _Toc239440946 \h </w:instrText>
            </w:r>
            <w:r>
              <w:rPr>
                <w:noProof/>
                <w:webHidden/>
              </w:rPr>
            </w:r>
            <w:r>
              <w:rPr>
                <w:noProof/>
                <w:webHidden/>
              </w:rPr>
              <w:fldChar w:fldCharType="separate"/>
            </w:r>
            <w:r>
              <w:rPr>
                <w:noProof/>
                <w:webHidden/>
              </w:rPr>
              <w:t>98</w:t>
            </w:r>
            <w:r>
              <w:rPr>
                <w:noProof/>
                <w:webHidden/>
              </w:rPr>
              <w:fldChar w:fldCharType="end"/>
            </w:r>
          </w:hyperlink>
        </w:p>
        <w:p w14:paraId="7894B27B" w14:textId="71B9B2DF"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7" w:history="1">
            <w:r w:rsidRPr="00384636">
              <w:rPr>
                <w:rStyle w:val="Hipervnculo"/>
                <w:noProof/>
                <w:lang w:val="es-MX"/>
              </w:rPr>
              <w:t>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Integridad, autoría y transparencia</w:t>
            </w:r>
            <w:r>
              <w:rPr>
                <w:noProof/>
                <w:webHidden/>
              </w:rPr>
              <w:tab/>
            </w:r>
            <w:r>
              <w:rPr>
                <w:noProof/>
                <w:webHidden/>
              </w:rPr>
              <w:fldChar w:fldCharType="begin"/>
            </w:r>
            <w:r>
              <w:rPr>
                <w:noProof/>
                <w:webHidden/>
              </w:rPr>
              <w:instrText xml:space="preserve"> PAGEREF _Toc239440947 \h </w:instrText>
            </w:r>
            <w:r>
              <w:rPr>
                <w:noProof/>
                <w:webHidden/>
              </w:rPr>
            </w:r>
            <w:r>
              <w:rPr>
                <w:noProof/>
                <w:webHidden/>
              </w:rPr>
              <w:fldChar w:fldCharType="separate"/>
            </w:r>
            <w:r>
              <w:rPr>
                <w:noProof/>
                <w:webHidden/>
              </w:rPr>
              <w:t>99</w:t>
            </w:r>
            <w:r>
              <w:rPr>
                <w:noProof/>
                <w:webHidden/>
              </w:rPr>
              <w:fldChar w:fldCharType="end"/>
            </w:r>
          </w:hyperlink>
        </w:p>
        <w:p w14:paraId="7B901E5A" w14:textId="103E6E6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8" w:history="1">
            <w:r w:rsidRPr="00384636">
              <w:rPr>
                <w:rStyle w:val="Hipervnculo"/>
                <w:noProof/>
                <w:lang w:val="es-MX"/>
              </w:rPr>
              <w:t>4.4.1.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Integridad, autoría, contribuciones y transparencia</w:t>
            </w:r>
            <w:r>
              <w:rPr>
                <w:noProof/>
                <w:webHidden/>
              </w:rPr>
              <w:tab/>
            </w:r>
            <w:r>
              <w:rPr>
                <w:noProof/>
                <w:webHidden/>
              </w:rPr>
              <w:fldChar w:fldCharType="begin"/>
            </w:r>
            <w:r>
              <w:rPr>
                <w:noProof/>
                <w:webHidden/>
              </w:rPr>
              <w:instrText xml:space="preserve"> PAGEREF _Toc239440948 \h </w:instrText>
            </w:r>
            <w:r>
              <w:rPr>
                <w:noProof/>
                <w:webHidden/>
              </w:rPr>
            </w:r>
            <w:r>
              <w:rPr>
                <w:noProof/>
                <w:webHidden/>
              </w:rPr>
              <w:fldChar w:fldCharType="separate"/>
            </w:r>
            <w:r>
              <w:rPr>
                <w:noProof/>
                <w:webHidden/>
              </w:rPr>
              <w:t>99</w:t>
            </w:r>
            <w:r>
              <w:rPr>
                <w:noProof/>
                <w:webHidden/>
              </w:rPr>
              <w:fldChar w:fldCharType="end"/>
            </w:r>
          </w:hyperlink>
        </w:p>
        <w:p w14:paraId="62E964B2" w14:textId="0D0C8B1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49" w:history="1">
            <w:r w:rsidRPr="00384636">
              <w:rPr>
                <w:rStyle w:val="Hipervnculo"/>
                <w:noProof/>
                <w:lang w:val="es-MX"/>
              </w:rPr>
              <w:t>4.4.2.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Citas, confidencialidad, privacidad y sesgos</w:t>
            </w:r>
            <w:r>
              <w:rPr>
                <w:noProof/>
                <w:webHidden/>
              </w:rPr>
              <w:tab/>
            </w:r>
            <w:r>
              <w:rPr>
                <w:noProof/>
                <w:webHidden/>
              </w:rPr>
              <w:fldChar w:fldCharType="begin"/>
            </w:r>
            <w:r>
              <w:rPr>
                <w:noProof/>
                <w:webHidden/>
              </w:rPr>
              <w:instrText xml:space="preserve"> PAGEREF _Toc239440949 \h </w:instrText>
            </w:r>
            <w:r>
              <w:rPr>
                <w:noProof/>
                <w:webHidden/>
              </w:rPr>
            </w:r>
            <w:r>
              <w:rPr>
                <w:noProof/>
                <w:webHidden/>
              </w:rPr>
              <w:fldChar w:fldCharType="separate"/>
            </w:r>
            <w:r>
              <w:rPr>
                <w:noProof/>
                <w:webHidden/>
              </w:rPr>
              <w:t>100</w:t>
            </w:r>
            <w:r>
              <w:rPr>
                <w:noProof/>
                <w:webHidden/>
              </w:rPr>
              <w:fldChar w:fldCharType="end"/>
            </w:r>
          </w:hyperlink>
        </w:p>
        <w:p w14:paraId="2EC8E033" w14:textId="0B53D8D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0" w:history="1">
            <w:r w:rsidRPr="00384636">
              <w:rPr>
                <w:rStyle w:val="Hipervnculo"/>
                <w:noProof/>
                <w:lang w:val="es-MX"/>
              </w:rPr>
              <w:t>4.4.3.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Fabricación, plagio, duplicación y conflictos de interés</w:t>
            </w:r>
            <w:r>
              <w:rPr>
                <w:noProof/>
                <w:webHidden/>
              </w:rPr>
              <w:tab/>
            </w:r>
            <w:r>
              <w:rPr>
                <w:noProof/>
                <w:webHidden/>
              </w:rPr>
              <w:fldChar w:fldCharType="begin"/>
            </w:r>
            <w:r>
              <w:rPr>
                <w:noProof/>
                <w:webHidden/>
              </w:rPr>
              <w:instrText xml:space="preserve"> PAGEREF _Toc239440950 \h </w:instrText>
            </w:r>
            <w:r>
              <w:rPr>
                <w:noProof/>
                <w:webHidden/>
              </w:rPr>
            </w:r>
            <w:r>
              <w:rPr>
                <w:noProof/>
                <w:webHidden/>
              </w:rPr>
              <w:fldChar w:fldCharType="separate"/>
            </w:r>
            <w:r>
              <w:rPr>
                <w:noProof/>
                <w:webHidden/>
              </w:rPr>
              <w:t>101</w:t>
            </w:r>
            <w:r>
              <w:rPr>
                <w:noProof/>
                <w:webHidden/>
              </w:rPr>
              <w:fldChar w:fldCharType="end"/>
            </w:r>
          </w:hyperlink>
        </w:p>
        <w:p w14:paraId="6B4DCEB4" w14:textId="72E30F9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1" w:history="1">
            <w:r w:rsidRPr="00384636">
              <w:rPr>
                <w:rStyle w:val="Hipervnculo"/>
                <w:noProof/>
                <w:lang w:val="es-MX"/>
              </w:rPr>
              <w:t>4.4.4.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Ciencia abierta, corrección, gobernanza y formación</w:t>
            </w:r>
            <w:r>
              <w:rPr>
                <w:noProof/>
                <w:webHidden/>
              </w:rPr>
              <w:tab/>
            </w:r>
            <w:r>
              <w:rPr>
                <w:noProof/>
                <w:webHidden/>
              </w:rPr>
              <w:fldChar w:fldCharType="begin"/>
            </w:r>
            <w:r>
              <w:rPr>
                <w:noProof/>
                <w:webHidden/>
              </w:rPr>
              <w:instrText xml:space="preserve"> PAGEREF _Toc239440951 \h </w:instrText>
            </w:r>
            <w:r>
              <w:rPr>
                <w:noProof/>
                <w:webHidden/>
              </w:rPr>
            </w:r>
            <w:r>
              <w:rPr>
                <w:noProof/>
                <w:webHidden/>
              </w:rPr>
              <w:fldChar w:fldCharType="separate"/>
            </w:r>
            <w:r>
              <w:rPr>
                <w:noProof/>
                <w:webHidden/>
              </w:rPr>
              <w:t>102</w:t>
            </w:r>
            <w:r>
              <w:rPr>
                <w:noProof/>
                <w:webHidden/>
              </w:rPr>
              <w:fldChar w:fldCharType="end"/>
            </w:r>
          </w:hyperlink>
        </w:p>
        <w:p w14:paraId="22FFC8DA" w14:textId="490F4BE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2" w:history="1">
            <w:r w:rsidRPr="00384636">
              <w:rPr>
                <w:rStyle w:val="Hipervnculo"/>
                <w:noProof/>
                <w:lang w:val="es-MX"/>
              </w:rPr>
              <w:t>4.4.5.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Revisión por pares, sostenibilidad y acuerdos de equipo</w:t>
            </w:r>
            <w:r>
              <w:rPr>
                <w:noProof/>
                <w:webHidden/>
              </w:rPr>
              <w:tab/>
            </w:r>
            <w:r>
              <w:rPr>
                <w:noProof/>
                <w:webHidden/>
              </w:rPr>
              <w:fldChar w:fldCharType="begin"/>
            </w:r>
            <w:r>
              <w:rPr>
                <w:noProof/>
                <w:webHidden/>
              </w:rPr>
              <w:instrText xml:space="preserve"> PAGEREF _Toc239440952 \h </w:instrText>
            </w:r>
            <w:r>
              <w:rPr>
                <w:noProof/>
                <w:webHidden/>
              </w:rPr>
            </w:r>
            <w:r>
              <w:rPr>
                <w:noProof/>
                <w:webHidden/>
              </w:rPr>
              <w:fldChar w:fldCharType="separate"/>
            </w:r>
            <w:r>
              <w:rPr>
                <w:noProof/>
                <w:webHidden/>
              </w:rPr>
              <w:t>103</w:t>
            </w:r>
            <w:r>
              <w:rPr>
                <w:noProof/>
                <w:webHidden/>
              </w:rPr>
              <w:fldChar w:fldCharType="end"/>
            </w:r>
          </w:hyperlink>
        </w:p>
        <w:p w14:paraId="49C9179B" w14:textId="09355063"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0953" w:history="1">
            <w:r w:rsidRPr="00384636">
              <w:rPr>
                <w:rStyle w:val="Hipervnculo"/>
                <w:bCs/>
                <w:noProof/>
              </w:rPr>
              <w:t>5.</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 xml:space="preserve">Capítulo 5 </w:t>
            </w:r>
            <w:r w:rsidRPr="00384636">
              <w:rPr>
                <w:rStyle w:val="Hipervnculo"/>
                <w:bCs/>
                <w:noProof/>
              </w:rPr>
              <w:t>Riesgos, ética e integridad académica</w:t>
            </w:r>
            <w:r>
              <w:rPr>
                <w:noProof/>
                <w:webHidden/>
              </w:rPr>
              <w:tab/>
            </w:r>
            <w:r>
              <w:rPr>
                <w:noProof/>
                <w:webHidden/>
              </w:rPr>
              <w:fldChar w:fldCharType="begin"/>
            </w:r>
            <w:r>
              <w:rPr>
                <w:noProof/>
                <w:webHidden/>
              </w:rPr>
              <w:instrText xml:space="preserve"> PAGEREF _Toc239440953 \h </w:instrText>
            </w:r>
            <w:r>
              <w:rPr>
                <w:noProof/>
                <w:webHidden/>
              </w:rPr>
            </w:r>
            <w:r>
              <w:rPr>
                <w:noProof/>
                <w:webHidden/>
              </w:rPr>
              <w:fldChar w:fldCharType="separate"/>
            </w:r>
            <w:r>
              <w:rPr>
                <w:noProof/>
                <w:webHidden/>
              </w:rPr>
              <w:t>106</w:t>
            </w:r>
            <w:r>
              <w:rPr>
                <w:noProof/>
                <w:webHidden/>
              </w:rPr>
              <w:fldChar w:fldCharType="end"/>
            </w:r>
          </w:hyperlink>
        </w:p>
        <w:p w14:paraId="429B68EE" w14:textId="51941365"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4" w:history="1">
            <w:r w:rsidRPr="00384636">
              <w:rPr>
                <w:rStyle w:val="Hipervnculo"/>
                <w:noProof/>
                <w:lang w:val="es-MX"/>
              </w:rPr>
              <w:t>5.1.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Plagio y dependencia tecnológica</w:t>
            </w:r>
            <w:r>
              <w:rPr>
                <w:noProof/>
                <w:webHidden/>
              </w:rPr>
              <w:tab/>
            </w:r>
            <w:r>
              <w:rPr>
                <w:noProof/>
                <w:webHidden/>
              </w:rPr>
              <w:fldChar w:fldCharType="begin"/>
            </w:r>
            <w:r>
              <w:rPr>
                <w:noProof/>
                <w:webHidden/>
              </w:rPr>
              <w:instrText xml:space="preserve"> PAGEREF _Toc239440954 \h </w:instrText>
            </w:r>
            <w:r>
              <w:rPr>
                <w:noProof/>
                <w:webHidden/>
              </w:rPr>
            </w:r>
            <w:r>
              <w:rPr>
                <w:noProof/>
                <w:webHidden/>
              </w:rPr>
              <w:fldChar w:fldCharType="separate"/>
            </w:r>
            <w:r>
              <w:rPr>
                <w:noProof/>
                <w:webHidden/>
              </w:rPr>
              <w:t>108</w:t>
            </w:r>
            <w:r>
              <w:rPr>
                <w:noProof/>
                <w:webHidden/>
              </w:rPr>
              <w:fldChar w:fldCharType="end"/>
            </w:r>
          </w:hyperlink>
        </w:p>
        <w:p w14:paraId="5F154136" w14:textId="284E267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5" w:history="1">
            <w:r w:rsidRPr="00384636">
              <w:rPr>
                <w:rStyle w:val="Hipervnculo"/>
                <w:noProof/>
                <w:lang w:val="es-MX"/>
              </w:rPr>
              <w:t>5.1.1.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Integridad, plagio, autoría y responsabilidad académica</w:t>
            </w:r>
            <w:r>
              <w:rPr>
                <w:noProof/>
                <w:webHidden/>
              </w:rPr>
              <w:tab/>
            </w:r>
            <w:r>
              <w:rPr>
                <w:noProof/>
                <w:webHidden/>
              </w:rPr>
              <w:fldChar w:fldCharType="begin"/>
            </w:r>
            <w:r>
              <w:rPr>
                <w:noProof/>
                <w:webHidden/>
              </w:rPr>
              <w:instrText xml:space="preserve"> PAGEREF _Toc239440955 \h </w:instrText>
            </w:r>
            <w:r>
              <w:rPr>
                <w:noProof/>
                <w:webHidden/>
              </w:rPr>
            </w:r>
            <w:r>
              <w:rPr>
                <w:noProof/>
                <w:webHidden/>
              </w:rPr>
              <w:fldChar w:fldCharType="separate"/>
            </w:r>
            <w:r>
              <w:rPr>
                <w:noProof/>
                <w:webHidden/>
              </w:rPr>
              <w:t>108</w:t>
            </w:r>
            <w:r>
              <w:rPr>
                <w:noProof/>
                <w:webHidden/>
              </w:rPr>
              <w:fldChar w:fldCharType="end"/>
            </w:r>
          </w:hyperlink>
        </w:p>
        <w:p w14:paraId="4D738AC9" w14:textId="28FCB2F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6" w:history="1">
            <w:r w:rsidRPr="00384636">
              <w:rPr>
                <w:rStyle w:val="Hipervnculo"/>
                <w:noProof/>
                <w:lang w:val="es-MX"/>
              </w:rPr>
              <w:t>5.1.2.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Clasificación de usos y diseño preventivo de la evaluación</w:t>
            </w:r>
            <w:r>
              <w:rPr>
                <w:noProof/>
                <w:webHidden/>
              </w:rPr>
              <w:tab/>
            </w:r>
            <w:r>
              <w:rPr>
                <w:noProof/>
                <w:webHidden/>
              </w:rPr>
              <w:fldChar w:fldCharType="begin"/>
            </w:r>
            <w:r>
              <w:rPr>
                <w:noProof/>
                <w:webHidden/>
              </w:rPr>
              <w:instrText xml:space="preserve"> PAGEREF _Toc239440956 \h </w:instrText>
            </w:r>
            <w:r>
              <w:rPr>
                <w:noProof/>
                <w:webHidden/>
              </w:rPr>
            </w:r>
            <w:r>
              <w:rPr>
                <w:noProof/>
                <w:webHidden/>
              </w:rPr>
              <w:fldChar w:fldCharType="separate"/>
            </w:r>
            <w:r>
              <w:rPr>
                <w:noProof/>
                <w:webHidden/>
              </w:rPr>
              <w:t>109</w:t>
            </w:r>
            <w:r>
              <w:rPr>
                <w:noProof/>
                <w:webHidden/>
              </w:rPr>
              <w:fldChar w:fldCharType="end"/>
            </w:r>
          </w:hyperlink>
        </w:p>
        <w:p w14:paraId="64A01683" w14:textId="413DCB4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7" w:history="1">
            <w:r w:rsidRPr="00384636">
              <w:rPr>
                <w:rStyle w:val="Hipervnculo"/>
                <w:noProof/>
                <w:lang w:val="es-MX"/>
              </w:rPr>
              <w:t>5.1.3.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Detectores, privacidad, debido proceso y respuesta educativa</w:t>
            </w:r>
            <w:r>
              <w:rPr>
                <w:noProof/>
                <w:webHidden/>
              </w:rPr>
              <w:tab/>
            </w:r>
            <w:r>
              <w:rPr>
                <w:noProof/>
                <w:webHidden/>
              </w:rPr>
              <w:fldChar w:fldCharType="begin"/>
            </w:r>
            <w:r>
              <w:rPr>
                <w:noProof/>
                <w:webHidden/>
              </w:rPr>
              <w:instrText xml:space="preserve"> PAGEREF _Toc239440957 \h </w:instrText>
            </w:r>
            <w:r>
              <w:rPr>
                <w:noProof/>
                <w:webHidden/>
              </w:rPr>
            </w:r>
            <w:r>
              <w:rPr>
                <w:noProof/>
                <w:webHidden/>
              </w:rPr>
              <w:fldChar w:fldCharType="separate"/>
            </w:r>
            <w:r>
              <w:rPr>
                <w:noProof/>
                <w:webHidden/>
              </w:rPr>
              <w:t>110</w:t>
            </w:r>
            <w:r>
              <w:rPr>
                <w:noProof/>
                <w:webHidden/>
              </w:rPr>
              <w:fldChar w:fldCharType="end"/>
            </w:r>
          </w:hyperlink>
        </w:p>
        <w:p w14:paraId="6C8C8318" w14:textId="5108C4D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8" w:history="1">
            <w:r w:rsidRPr="00384636">
              <w:rPr>
                <w:rStyle w:val="Hipervnculo"/>
                <w:noProof/>
                <w:lang w:val="es-MX"/>
              </w:rPr>
              <w:t>5.1.4.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Dependencia, sesgo de automatización y autonomía cognitiva</w:t>
            </w:r>
            <w:r>
              <w:rPr>
                <w:noProof/>
                <w:webHidden/>
              </w:rPr>
              <w:tab/>
            </w:r>
            <w:r>
              <w:rPr>
                <w:noProof/>
                <w:webHidden/>
              </w:rPr>
              <w:fldChar w:fldCharType="begin"/>
            </w:r>
            <w:r>
              <w:rPr>
                <w:noProof/>
                <w:webHidden/>
              </w:rPr>
              <w:instrText xml:space="preserve"> PAGEREF _Toc239440958 \h </w:instrText>
            </w:r>
            <w:r>
              <w:rPr>
                <w:noProof/>
                <w:webHidden/>
              </w:rPr>
            </w:r>
            <w:r>
              <w:rPr>
                <w:noProof/>
                <w:webHidden/>
              </w:rPr>
              <w:fldChar w:fldCharType="separate"/>
            </w:r>
            <w:r>
              <w:rPr>
                <w:noProof/>
                <w:webHidden/>
              </w:rPr>
              <w:t>111</w:t>
            </w:r>
            <w:r>
              <w:rPr>
                <w:noProof/>
                <w:webHidden/>
              </w:rPr>
              <w:fldChar w:fldCharType="end"/>
            </w:r>
          </w:hyperlink>
        </w:p>
        <w:p w14:paraId="658E11F3" w14:textId="3078B48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59" w:history="1">
            <w:r w:rsidRPr="00384636">
              <w:rPr>
                <w:rStyle w:val="Hipervnculo"/>
                <w:noProof/>
                <w:lang w:val="es-MX"/>
              </w:rPr>
              <w:t>5.1.5.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Bienestar, alfabetización, transparencia y criterios compartidos</w:t>
            </w:r>
            <w:r>
              <w:rPr>
                <w:noProof/>
                <w:webHidden/>
              </w:rPr>
              <w:tab/>
            </w:r>
            <w:r>
              <w:rPr>
                <w:noProof/>
                <w:webHidden/>
              </w:rPr>
              <w:fldChar w:fldCharType="begin"/>
            </w:r>
            <w:r>
              <w:rPr>
                <w:noProof/>
                <w:webHidden/>
              </w:rPr>
              <w:instrText xml:space="preserve"> PAGEREF _Toc239440959 \h </w:instrText>
            </w:r>
            <w:r>
              <w:rPr>
                <w:noProof/>
                <w:webHidden/>
              </w:rPr>
            </w:r>
            <w:r>
              <w:rPr>
                <w:noProof/>
                <w:webHidden/>
              </w:rPr>
              <w:fldChar w:fldCharType="separate"/>
            </w:r>
            <w:r>
              <w:rPr>
                <w:noProof/>
                <w:webHidden/>
              </w:rPr>
              <w:t>112</w:t>
            </w:r>
            <w:r>
              <w:rPr>
                <w:noProof/>
                <w:webHidden/>
              </w:rPr>
              <w:fldChar w:fldCharType="end"/>
            </w:r>
          </w:hyperlink>
        </w:p>
        <w:p w14:paraId="16537637" w14:textId="63173A8C"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0" w:history="1">
            <w:r w:rsidRPr="00384636">
              <w:rPr>
                <w:rStyle w:val="Hipervnculo"/>
                <w:noProof/>
                <w:lang w:val="es-MX"/>
              </w:rPr>
              <w:t>5.2.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Privacidad y protección de datos</w:t>
            </w:r>
            <w:r>
              <w:rPr>
                <w:noProof/>
                <w:webHidden/>
              </w:rPr>
              <w:tab/>
            </w:r>
            <w:r>
              <w:rPr>
                <w:noProof/>
                <w:webHidden/>
              </w:rPr>
              <w:fldChar w:fldCharType="begin"/>
            </w:r>
            <w:r>
              <w:rPr>
                <w:noProof/>
                <w:webHidden/>
              </w:rPr>
              <w:instrText xml:space="preserve"> PAGEREF _Toc239440960 \h </w:instrText>
            </w:r>
            <w:r>
              <w:rPr>
                <w:noProof/>
                <w:webHidden/>
              </w:rPr>
            </w:r>
            <w:r>
              <w:rPr>
                <w:noProof/>
                <w:webHidden/>
              </w:rPr>
              <w:fldChar w:fldCharType="separate"/>
            </w:r>
            <w:r>
              <w:rPr>
                <w:noProof/>
                <w:webHidden/>
              </w:rPr>
              <w:t>113</w:t>
            </w:r>
            <w:r>
              <w:rPr>
                <w:noProof/>
                <w:webHidden/>
              </w:rPr>
              <w:fldChar w:fldCharType="end"/>
            </w:r>
          </w:hyperlink>
        </w:p>
        <w:p w14:paraId="1AEAD4C7" w14:textId="38E6457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1" w:history="1">
            <w:r w:rsidRPr="00384636">
              <w:rPr>
                <w:rStyle w:val="Hipervnculo"/>
                <w:noProof/>
                <w:lang w:val="es-MX"/>
              </w:rPr>
              <w:t>5.2.1.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Finalidad, minimización, legitimación y transparencia</w:t>
            </w:r>
            <w:r>
              <w:rPr>
                <w:noProof/>
                <w:webHidden/>
              </w:rPr>
              <w:tab/>
            </w:r>
            <w:r>
              <w:rPr>
                <w:noProof/>
                <w:webHidden/>
              </w:rPr>
              <w:fldChar w:fldCharType="begin"/>
            </w:r>
            <w:r>
              <w:rPr>
                <w:noProof/>
                <w:webHidden/>
              </w:rPr>
              <w:instrText xml:space="preserve"> PAGEREF _Toc239440961 \h </w:instrText>
            </w:r>
            <w:r>
              <w:rPr>
                <w:noProof/>
                <w:webHidden/>
              </w:rPr>
            </w:r>
            <w:r>
              <w:rPr>
                <w:noProof/>
                <w:webHidden/>
              </w:rPr>
              <w:fldChar w:fldCharType="separate"/>
            </w:r>
            <w:r>
              <w:rPr>
                <w:noProof/>
                <w:webHidden/>
              </w:rPr>
              <w:t>113</w:t>
            </w:r>
            <w:r>
              <w:rPr>
                <w:noProof/>
                <w:webHidden/>
              </w:rPr>
              <w:fldChar w:fldCharType="end"/>
            </w:r>
          </w:hyperlink>
        </w:p>
        <w:p w14:paraId="3DF1A3FE" w14:textId="002D3C1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2" w:history="1">
            <w:r w:rsidRPr="00384636">
              <w:rPr>
                <w:rStyle w:val="Hipervnculo"/>
                <w:noProof/>
                <w:lang w:val="es-MX"/>
              </w:rPr>
              <w:t>5.2.2.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Derechos, protección desde el diseño y evaluación de impacto</w:t>
            </w:r>
            <w:r>
              <w:rPr>
                <w:noProof/>
                <w:webHidden/>
              </w:rPr>
              <w:tab/>
            </w:r>
            <w:r>
              <w:rPr>
                <w:noProof/>
                <w:webHidden/>
              </w:rPr>
              <w:fldChar w:fldCharType="begin"/>
            </w:r>
            <w:r>
              <w:rPr>
                <w:noProof/>
                <w:webHidden/>
              </w:rPr>
              <w:instrText xml:space="preserve"> PAGEREF _Toc239440962 \h </w:instrText>
            </w:r>
            <w:r>
              <w:rPr>
                <w:noProof/>
                <w:webHidden/>
              </w:rPr>
            </w:r>
            <w:r>
              <w:rPr>
                <w:noProof/>
                <w:webHidden/>
              </w:rPr>
              <w:fldChar w:fldCharType="separate"/>
            </w:r>
            <w:r>
              <w:rPr>
                <w:noProof/>
                <w:webHidden/>
              </w:rPr>
              <w:t>114</w:t>
            </w:r>
            <w:r>
              <w:rPr>
                <w:noProof/>
                <w:webHidden/>
              </w:rPr>
              <w:fldChar w:fldCharType="end"/>
            </w:r>
          </w:hyperlink>
        </w:p>
        <w:p w14:paraId="7A2D2EF9" w14:textId="02C535B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3" w:history="1">
            <w:r w:rsidRPr="00384636">
              <w:rPr>
                <w:rStyle w:val="Hipervnculo"/>
                <w:noProof/>
                <w:lang w:val="es-MX"/>
              </w:rPr>
              <w:t>5.2.3.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Inventario, clasificación, seudonimización y datos generativos</w:t>
            </w:r>
            <w:r>
              <w:rPr>
                <w:noProof/>
                <w:webHidden/>
              </w:rPr>
              <w:tab/>
            </w:r>
            <w:r>
              <w:rPr>
                <w:noProof/>
                <w:webHidden/>
              </w:rPr>
              <w:fldChar w:fldCharType="begin"/>
            </w:r>
            <w:r>
              <w:rPr>
                <w:noProof/>
                <w:webHidden/>
              </w:rPr>
              <w:instrText xml:space="preserve"> PAGEREF _Toc239440963 \h </w:instrText>
            </w:r>
            <w:r>
              <w:rPr>
                <w:noProof/>
                <w:webHidden/>
              </w:rPr>
            </w:r>
            <w:r>
              <w:rPr>
                <w:noProof/>
                <w:webHidden/>
              </w:rPr>
              <w:fldChar w:fldCharType="separate"/>
            </w:r>
            <w:r>
              <w:rPr>
                <w:noProof/>
                <w:webHidden/>
              </w:rPr>
              <w:t>116</w:t>
            </w:r>
            <w:r>
              <w:rPr>
                <w:noProof/>
                <w:webHidden/>
              </w:rPr>
              <w:fldChar w:fldCharType="end"/>
            </w:r>
          </w:hyperlink>
        </w:p>
        <w:p w14:paraId="326FEF48" w14:textId="459449C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4" w:history="1">
            <w:r w:rsidRPr="00384636">
              <w:rPr>
                <w:rStyle w:val="Hipervnculo"/>
                <w:noProof/>
                <w:lang w:val="es-MX"/>
              </w:rPr>
              <w:t>5.2.4.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Proveedores, transferencias, seguridad y control de acceso</w:t>
            </w:r>
            <w:r>
              <w:rPr>
                <w:noProof/>
                <w:webHidden/>
              </w:rPr>
              <w:tab/>
            </w:r>
            <w:r>
              <w:rPr>
                <w:noProof/>
                <w:webHidden/>
              </w:rPr>
              <w:fldChar w:fldCharType="begin"/>
            </w:r>
            <w:r>
              <w:rPr>
                <w:noProof/>
                <w:webHidden/>
              </w:rPr>
              <w:instrText xml:space="preserve"> PAGEREF _Toc239440964 \h </w:instrText>
            </w:r>
            <w:r>
              <w:rPr>
                <w:noProof/>
                <w:webHidden/>
              </w:rPr>
            </w:r>
            <w:r>
              <w:rPr>
                <w:noProof/>
                <w:webHidden/>
              </w:rPr>
              <w:fldChar w:fldCharType="separate"/>
            </w:r>
            <w:r>
              <w:rPr>
                <w:noProof/>
                <w:webHidden/>
              </w:rPr>
              <w:t>116</w:t>
            </w:r>
            <w:r>
              <w:rPr>
                <w:noProof/>
                <w:webHidden/>
              </w:rPr>
              <w:fldChar w:fldCharType="end"/>
            </w:r>
          </w:hyperlink>
        </w:p>
        <w:p w14:paraId="0B3B7B7F" w14:textId="3D6FF58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5" w:history="1">
            <w:r w:rsidRPr="00384636">
              <w:rPr>
                <w:rStyle w:val="Hipervnculo"/>
                <w:noProof/>
                <w:lang w:val="es-MX"/>
              </w:rPr>
              <w:t>5.2.5.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Derechos, incidentes, investigación y gobernanza de privacidad</w:t>
            </w:r>
            <w:r>
              <w:rPr>
                <w:noProof/>
                <w:webHidden/>
              </w:rPr>
              <w:tab/>
            </w:r>
            <w:r>
              <w:rPr>
                <w:noProof/>
                <w:webHidden/>
              </w:rPr>
              <w:fldChar w:fldCharType="begin"/>
            </w:r>
            <w:r>
              <w:rPr>
                <w:noProof/>
                <w:webHidden/>
              </w:rPr>
              <w:instrText xml:space="preserve"> PAGEREF _Toc239440965 \h </w:instrText>
            </w:r>
            <w:r>
              <w:rPr>
                <w:noProof/>
                <w:webHidden/>
              </w:rPr>
            </w:r>
            <w:r>
              <w:rPr>
                <w:noProof/>
                <w:webHidden/>
              </w:rPr>
              <w:fldChar w:fldCharType="separate"/>
            </w:r>
            <w:r>
              <w:rPr>
                <w:noProof/>
                <w:webHidden/>
              </w:rPr>
              <w:t>117</w:t>
            </w:r>
            <w:r>
              <w:rPr>
                <w:noProof/>
                <w:webHidden/>
              </w:rPr>
              <w:fldChar w:fldCharType="end"/>
            </w:r>
          </w:hyperlink>
        </w:p>
        <w:p w14:paraId="03FD5E8E" w14:textId="7989A765"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6" w:history="1">
            <w:r w:rsidRPr="00384636">
              <w:rPr>
                <w:rStyle w:val="Hipervnculo"/>
                <w:noProof/>
                <w:lang w:val="es-MX"/>
              </w:rPr>
              <w:t>5.3.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Sesgos y discriminación algorítmica</w:t>
            </w:r>
            <w:r>
              <w:rPr>
                <w:noProof/>
                <w:webHidden/>
              </w:rPr>
              <w:tab/>
            </w:r>
            <w:r>
              <w:rPr>
                <w:noProof/>
                <w:webHidden/>
              </w:rPr>
              <w:fldChar w:fldCharType="begin"/>
            </w:r>
            <w:r>
              <w:rPr>
                <w:noProof/>
                <w:webHidden/>
              </w:rPr>
              <w:instrText xml:space="preserve"> PAGEREF _Toc239440966 \h </w:instrText>
            </w:r>
            <w:r>
              <w:rPr>
                <w:noProof/>
                <w:webHidden/>
              </w:rPr>
            </w:r>
            <w:r>
              <w:rPr>
                <w:noProof/>
                <w:webHidden/>
              </w:rPr>
              <w:fldChar w:fldCharType="separate"/>
            </w:r>
            <w:r>
              <w:rPr>
                <w:noProof/>
                <w:webHidden/>
              </w:rPr>
              <w:t>119</w:t>
            </w:r>
            <w:r>
              <w:rPr>
                <w:noProof/>
                <w:webHidden/>
              </w:rPr>
              <w:fldChar w:fldCharType="end"/>
            </w:r>
          </w:hyperlink>
        </w:p>
        <w:p w14:paraId="2A210F88" w14:textId="46E9C67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7" w:history="1">
            <w:r w:rsidRPr="00384636">
              <w:rPr>
                <w:rStyle w:val="Hipervnculo"/>
                <w:noProof/>
                <w:lang w:val="es-MX"/>
              </w:rPr>
              <w:t>5.3.1.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Orígenes sociales, representación y medición del sesgo</w:t>
            </w:r>
            <w:r>
              <w:rPr>
                <w:noProof/>
                <w:webHidden/>
              </w:rPr>
              <w:tab/>
            </w:r>
            <w:r>
              <w:rPr>
                <w:noProof/>
                <w:webHidden/>
              </w:rPr>
              <w:fldChar w:fldCharType="begin"/>
            </w:r>
            <w:r>
              <w:rPr>
                <w:noProof/>
                <w:webHidden/>
              </w:rPr>
              <w:instrText xml:space="preserve"> PAGEREF _Toc239440967 \h </w:instrText>
            </w:r>
            <w:r>
              <w:rPr>
                <w:noProof/>
                <w:webHidden/>
              </w:rPr>
            </w:r>
            <w:r>
              <w:rPr>
                <w:noProof/>
                <w:webHidden/>
              </w:rPr>
              <w:fldChar w:fldCharType="separate"/>
            </w:r>
            <w:r>
              <w:rPr>
                <w:noProof/>
                <w:webHidden/>
              </w:rPr>
              <w:t>119</w:t>
            </w:r>
            <w:r>
              <w:rPr>
                <w:noProof/>
                <w:webHidden/>
              </w:rPr>
              <w:fldChar w:fldCharType="end"/>
            </w:r>
          </w:hyperlink>
        </w:p>
        <w:p w14:paraId="515D92BF" w14:textId="24B59C6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8" w:history="1">
            <w:r w:rsidRPr="00384636">
              <w:rPr>
                <w:rStyle w:val="Hipervnculo"/>
                <w:noProof/>
                <w:lang w:val="es-MX"/>
              </w:rPr>
              <w:t>5.3.2.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Etiquetas, objetivos, discriminación y métricas de equidad</w:t>
            </w:r>
            <w:r>
              <w:rPr>
                <w:noProof/>
                <w:webHidden/>
              </w:rPr>
              <w:tab/>
            </w:r>
            <w:r>
              <w:rPr>
                <w:noProof/>
                <w:webHidden/>
              </w:rPr>
              <w:fldChar w:fldCharType="begin"/>
            </w:r>
            <w:r>
              <w:rPr>
                <w:noProof/>
                <w:webHidden/>
              </w:rPr>
              <w:instrText xml:space="preserve"> PAGEREF _Toc239440968 \h </w:instrText>
            </w:r>
            <w:r>
              <w:rPr>
                <w:noProof/>
                <w:webHidden/>
              </w:rPr>
            </w:r>
            <w:r>
              <w:rPr>
                <w:noProof/>
                <w:webHidden/>
              </w:rPr>
              <w:fldChar w:fldCharType="separate"/>
            </w:r>
            <w:r>
              <w:rPr>
                <w:noProof/>
                <w:webHidden/>
              </w:rPr>
              <w:t>119</w:t>
            </w:r>
            <w:r>
              <w:rPr>
                <w:noProof/>
                <w:webHidden/>
              </w:rPr>
              <w:fldChar w:fldCharType="end"/>
            </w:r>
          </w:hyperlink>
        </w:p>
        <w:p w14:paraId="0DD38806" w14:textId="1AB64154"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69" w:history="1">
            <w:r w:rsidRPr="00384636">
              <w:rPr>
                <w:rStyle w:val="Hipervnculo"/>
                <w:noProof/>
                <w:lang w:val="es-MX"/>
              </w:rPr>
              <w:t>5.3.3.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Interseccionalidad, lenguaje, alucinaciones y accesibilidad</w:t>
            </w:r>
            <w:r>
              <w:rPr>
                <w:noProof/>
                <w:webHidden/>
              </w:rPr>
              <w:tab/>
            </w:r>
            <w:r>
              <w:rPr>
                <w:noProof/>
                <w:webHidden/>
              </w:rPr>
              <w:fldChar w:fldCharType="begin"/>
            </w:r>
            <w:r>
              <w:rPr>
                <w:noProof/>
                <w:webHidden/>
              </w:rPr>
              <w:instrText xml:space="preserve"> PAGEREF _Toc239440969 \h </w:instrText>
            </w:r>
            <w:r>
              <w:rPr>
                <w:noProof/>
                <w:webHidden/>
              </w:rPr>
            </w:r>
            <w:r>
              <w:rPr>
                <w:noProof/>
                <w:webHidden/>
              </w:rPr>
              <w:fldChar w:fldCharType="separate"/>
            </w:r>
            <w:r>
              <w:rPr>
                <w:noProof/>
                <w:webHidden/>
              </w:rPr>
              <w:t>121</w:t>
            </w:r>
            <w:r>
              <w:rPr>
                <w:noProof/>
                <w:webHidden/>
              </w:rPr>
              <w:fldChar w:fldCharType="end"/>
            </w:r>
          </w:hyperlink>
        </w:p>
        <w:p w14:paraId="07161178" w14:textId="3B3185B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0" w:history="1">
            <w:r w:rsidRPr="00384636">
              <w:rPr>
                <w:rStyle w:val="Hipervnculo"/>
                <w:noProof/>
                <w:lang w:val="es-MX"/>
              </w:rPr>
              <w:t>5.3.4.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Vigilancia, selección, alertas y retroalimentación</w:t>
            </w:r>
            <w:r>
              <w:rPr>
                <w:noProof/>
                <w:webHidden/>
              </w:rPr>
              <w:tab/>
            </w:r>
            <w:r>
              <w:rPr>
                <w:noProof/>
                <w:webHidden/>
              </w:rPr>
              <w:fldChar w:fldCharType="begin"/>
            </w:r>
            <w:r>
              <w:rPr>
                <w:noProof/>
                <w:webHidden/>
              </w:rPr>
              <w:instrText xml:space="preserve"> PAGEREF _Toc239440970 \h </w:instrText>
            </w:r>
            <w:r>
              <w:rPr>
                <w:noProof/>
                <w:webHidden/>
              </w:rPr>
            </w:r>
            <w:r>
              <w:rPr>
                <w:noProof/>
                <w:webHidden/>
              </w:rPr>
              <w:fldChar w:fldCharType="separate"/>
            </w:r>
            <w:r>
              <w:rPr>
                <w:noProof/>
                <w:webHidden/>
              </w:rPr>
              <w:t>122</w:t>
            </w:r>
            <w:r>
              <w:rPr>
                <w:noProof/>
                <w:webHidden/>
              </w:rPr>
              <w:fldChar w:fldCharType="end"/>
            </w:r>
          </w:hyperlink>
        </w:p>
        <w:p w14:paraId="74A8E06A" w14:textId="4B52EE94"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1" w:history="1">
            <w:r w:rsidRPr="00384636">
              <w:rPr>
                <w:rStyle w:val="Hipervnculo"/>
                <w:noProof/>
                <w:lang w:val="es-MX"/>
              </w:rPr>
              <w:t>5.3.5.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Supervisión, auditoría, participación, reparación e impacto</w:t>
            </w:r>
            <w:r>
              <w:rPr>
                <w:noProof/>
                <w:webHidden/>
              </w:rPr>
              <w:tab/>
            </w:r>
            <w:r>
              <w:rPr>
                <w:noProof/>
                <w:webHidden/>
              </w:rPr>
              <w:fldChar w:fldCharType="begin"/>
            </w:r>
            <w:r>
              <w:rPr>
                <w:noProof/>
                <w:webHidden/>
              </w:rPr>
              <w:instrText xml:space="preserve"> PAGEREF _Toc239440971 \h </w:instrText>
            </w:r>
            <w:r>
              <w:rPr>
                <w:noProof/>
                <w:webHidden/>
              </w:rPr>
            </w:r>
            <w:r>
              <w:rPr>
                <w:noProof/>
                <w:webHidden/>
              </w:rPr>
              <w:fldChar w:fldCharType="separate"/>
            </w:r>
            <w:r>
              <w:rPr>
                <w:noProof/>
                <w:webHidden/>
              </w:rPr>
              <w:t>123</w:t>
            </w:r>
            <w:r>
              <w:rPr>
                <w:noProof/>
                <w:webHidden/>
              </w:rPr>
              <w:fldChar w:fldCharType="end"/>
            </w:r>
          </w:hyperlink>
        </w:p>
        <w:p w14:paraId="0DB628B7" w14:textId="1BEDDBA3"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2" w:history="1">
            <w:r w:rsidRPr="00384636">
              <w:rPr>
                <w:rStyle w:val="Hipervnculo"/>
                <w:noProof/>
                <w:lang w:val="es-MX"/>
              </w:rPr>
              <w:t>5.4.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Uso responsable y políticas institucionales</w:t>
            </w:r>
            <w:r>
              <w:rPr>
                <w:noProof/>
                <w:webHidden/>
              </w:rPr>
              <w:tab/>
            </w:r>
            <w:r>
              <w:rPr>
                <w:noProof/>
                <w:webHidden/>
              </w:rPr>
              <w:fldChar w:fldCharType="begin"/>
            </w:r>
            <w:r>
              <w:rPr>
                <w:noProof/>
                <w:webHidden/>
              </w:rPr>
              <w:instrText xml:space="preserve"> PAGEREF _Toc239440972 \h </w:instrText>
            </w:r>
            <w:r>
              <w:rPr>
                <w:noProof/>
                <w:webHidden/>
              </w:rPr>
            </w:r>
            <w:r>
              <w:rPr>
                <w:noProof/>
                <w:webHidden/>
              </w:rPr>
              <w:fldChar w:fldCharType="separate"/>
            </w:r>
            <w:r>
              <w:rPr>
                <w:noProof/>
                <w:webHidden/>
              </w:rPr>
              <w:t>124</w:t>
            </w:r>
            <w:r>
              <w:rPr>
                <w:noProof/>
                <w:webHidden/>
              </w:rPr>
              <w:fldChar w:fldCharType="end"/>
            </w:r>
          </w:hyperlink>
        </w:p>
        <w:p w14:paraId="20449EAB" w14:textId="67722F5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3" w:history="1">
            <w:r w:rsidRPr="00384636">
              <w:rPr>
                <w:rStyle w:val="Hipervnculo"/>
                <w:noProof/>
                <w:lang w:val="es-MX"/>
              </w:rPr>
              <w:t>5.4.1.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Propósito, alcance y clasificación institucional del riesgo</w:t>
            </w:r>
            <w:r>
              <w:rPr>
                <w:noProof/>
                <w:webHidden/>
              </w:rPr>
              <w:tab/>
            </w:r>
            <w:r>
              <w:rPr>
                <w:noProof/>
                <w:webHidden/>
              </w:rPr>
              <w:fldChar w:fldCharType="begin"/>
            </w:r>
            <w:r>
              <w:rPr>
                <w:noProof/>
                <w:webHidden/>
              </w:rPr>
              <w:instrText xml:space="preserve"> PAGEREF _Toc239440973 \h </w:instrText>
            </w:r>
            <w:r>
              <w:rPr>
                <w:noProof/>
                <w:webHidden/>
              </w:rPr>
            </w:r>
            <w:r>
              <w:rPr>
                <w:noProof/>
                <w:webHidden/>
              </w:rPr>
              <w:fldChar w:fldCharType="separate"/>
            </w:r>
            <w:r>
              <w:rPr>
                <w:noProof/>
                <w:webHidden/>
              </w:rPr>
              <w:t>124</w:t>
            </w:r>
            <w:r>
              <w:rPr>
                <w:noProof/>
                <w:webHidden/>
              </w:rPr>
              <w:fldChar w:fldCharType="end"/>
            </w:r>
          </w:hyperlink>
        </w:p>
        <w:p w14:paraId="0387C3B7" w14:textId="0D7E4B2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4" w:history="1">
            <w:r w:rsidRPr="00384636">
              <w:rPr>
                <w:rStyle w:val="Hipervnculo"/>
                <w:noProof/>
                <w:lang w:val="es-MX"/>
              </w:rPr>
              <w:t>5.4.2.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Prohibiciones, docencia, investigación y propiedad intelectual</w:t>
            </w:r>
            <w:r>
              <w:rPr>
                <w:noProof/>
                <w:webHidden/>
              </w:rPr>
              <w:tab/>
            </w:r>
            <w:r>
              <w:rPr>
                <w:noProof/>
                <w:webHidden/>
              </w:rPr>
              <w:fldChar w:fldCharType="begin"/>
            </w:r>
            <w:r>
              <w:rPr>
                <w:noProof/>
                <w:webHidden/>
              </w:rPr>
              <w:instrText xml:space="preserve"> PAGEREF _Toc239440974 \h </w:instrText>
            </w:r>
            <w:r>
              <w:rPr>
                <w:noProof/>
                <w:webHidden/>
              </w:rPr>
            </w:r>
            <w:r>
              <w:rPr>
                <w:noProof/>
                <w:webHidden/>
              </w:rPr>
              <w:fldChar w:fldCharType="separate"/>
            </w:r>
            <w:r>
              <w:rPr>
                <w:noProof/>
                <w:webHidden/>
              </w:rPr>
              <w:t>126</w:t>
            </w:r>
            <w:r>
              <w:rPr>
                <w:noProof/>
                <w:webHidden/>
              </w:rPr>
              <w:fldChar w:fldCharType="end"/>
            </w:r>
          </w:hyperlink>
        </w:p>
        <w:p w14:paraId="0A6C02CC" w14:textId="11A0B50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5" w:history="1">
            <w:r w:rsidRPr="00384636">
              <w:rPr>
                <w:rStyle w:val="Hipervnculo"/>
                <w:noProof/>
                <w:lang w:val="es-MX"/>
              </w:rPr>
              <w:t>5.4.3.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Gobernanza, registro, adquisición y contratación responsable</w:t>
            </w:r>
            <w:r>
              <w:rPr>
                <w:noProof/>
                <w:webHidden/>
              </w:rPr>
              <w:tab/>
            </w:r>
            <w:r>
              <w:rPr>
                <w:noProof/>
                <w:webHidden/>
              </w:rPr>
              <w:fldChar w:fldCharType="begin"/>
            </w:r>
            <w:r>
              <w:rPr>
                <w:noProof/>
                <w:webHidden/>
              </w:rPr>
              <w:instrText xml:space="preserve"> PAGEREF _Toc239440975 \h </w:instrText>
            </w:r>
            <w:r>
              <w:rPr>
                <w:noProof/>
                <w:webHidden/>
              </w:rPr>
            </w:r>
            <w:r>
              <w:rPr>
                <w:noProof/>
                <w:webHidden/>
              </w:rPr>
              <w:fldChar w:fldCharType="separate"/>
            </w:r>
            <w:r>
              <w:rPr>
                <w:noProof/>
                <w:webHidden/>
              </w:rPr>
              <w:t>126</w:t>
            </w:r>
            <w:r>
              <w:rPr>
                <w:noProof/>
                <w:webHidden/>
              </w:rPr>
              <w:fldChar w:fldCharType="end"/>
            </w:r>
          </w:hyperlink>
        </w:p>
        <w:p w14:paraId="6CB4123D" w14:textId="26DC3E8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6" w:history="1">
            <w:r w:rsidRPr="00384636">
              <w:rPr>
                <w:rStyle w:val="Hipervnculo"/>
                <w:noProof/>
                <w:lang w:val="es-MX"/>
              </w:rPr>
              <w:t>5.4.4.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Pilotos, monitoreo, documentación, supervisión y reclamación</w:t>
            </w:r>
            <w:r>
              <w:rPr>
                <w:noProof/>
                <w:webHidden/>
              </w:rPr>
              <w:tab/>
            </w:r>
            <w:r>
              <w:rPr>
                <w:noProof/>
                <w:webHidden/>
              </w:rPr>
              <w:fldChar w:fldCharType="begin"/>
            </w:r>
            <w:r>
              <w:rPr>
                <w:noProof/>
                <w:webHidden/>
              </w:rPr>
              <w:instrText xml:space="preserve"> PAGEREF _Toc239440976 \h </w:instrText>
            </w:r>
            <w:r>
              <w:rPr>
                <w:noProof/>
                <w:webHidden/>
              </w:rPr>
            </w:r>
            <w:r>
              <w:rPr>
                <w:noProof/>
                <w:webHidden/>
              </w:rPr>
              <w:fldChar w:fldCharType="separate"/>
            </w:r>
            <w:r>
              <w:rPr>
                <w:noProof/>
                <w:webHidden/>
              </w:rPr>
              <w:t>128</w:t>
            </w:r>
            <w:r>
              <w:rPr>
                <w:noProof/>
                <w:webHidden/>
              </w:rPr>
              <w:fldChar w:fldCharType="end"/>
            </w:r>
          </w:hyperlink>
        </w:p>
        <w:p w14:paraId="532CAEF6" w14:textId="50420DF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7" w:history="1">
            <w:r w:rsidRPr="00384636">
              <w:rPr>
                <w:rStyle w:val="Hipervnculo"/>
                <w:noProof/>
                <w:lang w:val="es-MX"/>
              </w:rPr>
              <w:t>5.4.5.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Formación, comunicación, coordinación y evaluación de políticas</w:t>
            </w:r>
            <w:r>
              <w:rPr>
                <w:noProof/>
                <w:webHidden/>
              </w:rPr>
              <w:tab/>
            </w:r>
            <w:r>
              <w:rPr>
                <w:noProof/>
                <w:webHidden/>
              </w:rPr>
              <w:fldChar w:fldCharType="begin"/>
            </w:r>
            <w:r>
              <w:rPr>
                <w:noProof/>
                <w:webHidden/>
              </w:rPr>
              <w:instrText xml:space="preserve"> PAGEREF _Toc239440977 \h </w:instrText>
            </w:r>
            <w:r>
              <w:rPr>
                <w:noProof/>
                <w:webHidden/>
              </w:rPr>
            </w:r>
            <w:r>
              <w:rPr>
                <w:noProof/>
                <w:webHidden/>
              </w:rPr>
              <w:fldChar w:fldCharType="separate"/>
            </w:r>
            <w:r>
              <w:rPr>
                <w:noProof/>
                <w:webHidden/>
              </w:rPr>
              <w:t>129</w:t>
            </w:r>
            <w:r>
              <w:rPr>
                <w:noProof/>
                <w:webHidden/>
              </w:rPr>
              <w:fldChar w:fldCharType="end"/>
            </w:r>
          </w:hyperlink>
        </w:p>
        <w:p w14:paraId="7440F67F" w14:textId="3572FE26"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0978" w:history="1">
            <w:r w:rsidRPr="00384636">
              <w:rPr>
                <w:rStyle w:val="Hipervnculo"/>
                <w:noProof/>
              </w:rPr>
              <w:t>6.</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Capítulo 6 Inclusión, accesibilidad y brecha digital</w:t>
            </w:r>
            <w:r>
              <w:rPr>
                <w:noProof/>
                <w:webHidden/>
              </w:rPr>
              <w:tab/>
            </w:r>
            <w:r>
              <w:rPr>
                <w:noProof/>
                <w:webHidden/>
              </w:rPr>
              <w:fldChar w:fldCharType="begin"/>
            </w:r>
            <w:r>
              <w:rPr>
                <w:noProof/>
                <w:webHidden/>
              </w:rPr>
              <w:instrText xml:space="preserve"> PAGEREF _Toc239440978 \h </w:instrText>
            </w:r>
            <w:r>
              <w:rPr>
                <w:noProof/>
                <w:webHidden/>
              </w:rPr>
            </w:r>
            <w:r>
              <w:rPr>
                <w:noProof/>
                <w:webHidden/>
              </w:rPr>
              <w:fldChar w:fldCharType="separate"/>
            </w:r>
            <w:r>
              <w:rPr>
                <w:noProof/>
                <w:webHidden/>
              </w:rPr>
              <w:t>131</w:t>
            </w:r>
            <w:r>
              <w:rPr>
                <w:noProof/>
                <w:webHidden/>
              </w:rPr>
              <w:fldChar w:fldCharType="end"/>
            </w:r>
          </w:hyperlink>
        </w:p>
        <w:p w14:paraId="7B3D4BE3" w14:textId="0C2068FC"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79" w:history="1">
            <w:r w:rsidRPr="00384636">
              <w:rPr>
                <w:rStyle w:val="Hipervnculo"/>
                <w:noProof/>
                <w:lang w:val="es-MX"/>
              </w:rPr>
              <w:t>6.1.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Acceso equitativo a tecnologías</w:t>
            </w:r>
            <w:r>
              <w:rPr>
                <w:noProof/>
                <w:webHidden/>
              </w:rPr>
              <w:tab/>
            </w:r>
            <w:r>
              <w:rPr>
                <w:noProof/>
                <w:webHidden/>
              </w:rPr>
              <w:fldChar w:fldCharType="begin"/>
            </w:r>
            <w:r>
              <w:rPr>
                <w:noProof/>
                <w:webHidden/>
              </w:rPr>
              <w:instrText xml:space="preserve"> PAGEREF _Toc239440979 \h </w:instrText>
            </w:r>
            <w:r>
              <w:rPr>
                <w:noProof/>
                <w:webHidden/>
              </w:rPr>
            </w:r>
            <w:r>
              <w:rPr>
                <w:noProof/>
                <w:webHidden/>
              </w:rPr>
              <w:fldChar w:fldCharType="separate"/>
            </w:r>
            <w:r>
              <w:rPr>
                <w:noProof/>
                <w:webHidden/>
              </w:rPr>
              <w:t>133</w:t>
            </w:r>
            <w:r>
              <w:rPr>
                <w:noProof/>
                <w:webHidden/>
              </w:rPr>
              <w:fldChar w:fldCharType="end"/>
            </w:r>
          </w:hyperlink>
        </w:p>
        <w:p w14:paraId="79953713" w14:textId="05380FF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0" w:history="1">
            <w:r w:rsidRPr="00384636">
              <w:rPr>
                <w:rStyle w:val="Hipervnculo"/>
                <w:noProof/>
                <w:lang w:val="es-MX"/>
              </w:rPr>
              <w:t>6.1.1.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Acceso efectivo, diagnóstico y garantía institucional</w:t>
            </w:r>
            <w:r>
              <w:rPr>
                <w:noProof/>
                <w:webHidden/>
              </w:rPr>
              <w:tab/>
            </w:r>
            <w:r>
              <w:rPr>
                <w:noProof/>
                <w:webHidden/>
              </w:rPr>
              <w:fldChar w:fldCharType="begin"/>
            </w:r>
            <w:r>
              <w:rPr>
                <w:noProof/>
                <w:webHidden/>
              </w:rPr>
              <w:instrText xml:space="preserve"> PAGEREF _Toc239440980 \h </w:instrText>
            </w:r>
            <w:r>
              <w:rPr>
                <w:noProof/>
                <w:webHidden/>
              </w:rPr>
            </w:r>
            <w:r>
              <w:rPr>
                <w:noProof/>
                <w:webHidden/>
              </w:rPr>
              <w:fldChar w:fldCharType="separate"/>
            </w:r>
            <w:r>
              <w:rPr>
                <w:noProof/>
                <w:webHidden/>
              </w:rPr>
              <w:t>133</w:t>
            </w:r>
            <w:r>
              <w:rPr>
                <w:noProof/>
                <w:webHidden/>
              </w:rPr>
              <w:fldChar w:fldCharType="end"/>
            </w:r>
          </w:hyperlink>
        </w:p>
        <w:p w14:paraId="6C6EDE98" w14:textId="326F77C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1" w:history="1">
            <w:r w:rsidRPr="00384636">
              <w:rPr>
                <w:rStyle w:val="Hipervnculo"/>
                <w:noProof/>
                <w:lang w:val="es-MX"/>
              </w:rPr>
              <w:t>6.1.2.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Dispositivos y disponibilidad fuera del campus</w:t>
            </w:r>
            <w:r>
              <w:rPr>
                <w:noProof/>
                <w:webHidden/>
              </w:rPr>
              <w:tab/>
            </w:r>
            <w:r>
              <w:rPr>
                <w:noProof/>
                <w:webHidden/>
              </w:rPr>
              <w:fldChar w:fldCharType="begin"/>
            </w:r>
            <w:r>
              <w:rPr>
                <w:noProof/>
                <w:webHidden/>
              </w:rPr>
              <w:instrText xml:space="preserve"> PAGEREF _Toc239440981 \h </w:instrText>
            </w:r>
            <w:r>
              <w:rPr>
                <w:noProof/>
                <w:webHidden/>
              </w:rPr>
            </w:r>
            <w:r>
              <w:rPr>
                <w:noProof/>
                <w:webHidden/>
              </w:rPr>
              <w:fldChar w:fldCharType="separate"/>
            </w:r>
            <w:r>
              <w:rPr>
                <w:noProof/>
                <w:webHidden/>
              </w:rPr>
              <w:t>134</w:t>
            </w:r>
            <w:r>
              <w:rPr>
                <w:noProof/>
                <w:webHidden/>
              </w:rPr>
              <w:fldChar w:fldCharType="end"/>
            </w:r>
          </w:hyperlink>
        </w:p>
        <w:p w14:paraId="745E4F72" w14:textId="53C8A9B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2" w:history="1">
            <w:r w:rsidRPr="00384636">
              <w:rPr>
                <w:rStyle w:val="Hipervnculo"/>
                <w:noProof/>
                <w:lang w:val="es-MX"/>
              </w:rPr>
              <w:t>6.1.3.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Asequibilidad y diseño para conectividad limitada</w:t>
            </w:r>
            <w:r>
              <w:rPr>
                <w:noProof/>
                <w:webHidden/>
              </w:rPr>
              <w:tab/>
            </w:r>
            <w:r>
              <w:rPr>
                <w:noProof/>
                <w:webHidden/>
              </w:rPr>
              <w:fldChar w:fldCharType="begin"/>
            </w:r>
            <w:r>
              <w:rPr>
                <w:noProof/>
                <w:webHidden/>
              </w:rPr>
              <w:instrText xml:space="preserve"> PAGEREF _Toc239440982 \h </w:instrText>
            </w:r>
            <w:r>
              <w:rPr>
                <w:noProof/>
                <w:webHidden/>
              </w:rPr>
            </w:r>
            <w:r>
              <w:rPr>
                <w:noProof/>
                <w:webHidden/>
              </w:rPr>
              <w:fldChar w:fldCharType="separate"/>
            </w:r>
            <w:r>
              <w:rPr>
                <w:noProof/>
                <w:webHidden/>
              </w:rPr>
              <w:t>135</w:t>
            </w:r>
            <w:r>
              <w:rPr>
                <w:noProof/>
                <w:webHidden/>
              </w:rPr>
              <w:fldChar w:fldCharType="end"/>
            </w:r>
          </w:hyperlink>
        </w:p>
        <w:p w14:paraId="611ACDB6" w14:textId="621AB02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3" w:history="1">
            <w:r w:rsidRPr="00384636">
              <w:rPr>
                <w:rStyle w:val="Hipervnculo"/>
                <w:noProof/>
                <w:lang w:val="es-MX"/>
              </w:rPr>
              <w:t>6.1.4.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Competencias, apoyo oportuno y decisiones situadas</w:t>
            </w:r>
            <w:r>
              <w:rPr>
                <w:noProof/>
                <w:webHidden/>
              </w:rPr>
              <w:tab/>
            </w:r>
            <w:r>
              <w:rPr>
                <w:noProof/>
                <w:webHidden/>
              </w:rPr>
              <w:fldChar w:fldCharType="begin"/>
            </w:r>
            <w:r>
              <w:rPr>
                <w:noProof/>
                <w:webHidden/>
              </w:rPr>
              <w:instrText xml:space="preserve"> PAGEREF _Toc239440983 \h </w:instrText>
            </w:r>
            <w:r>
              <w:rPr>
                <w:noProof/>
                <w:webHidden/>
              </w:rPr>
            </w:r>
            <w:r>
              <w:rPr>
                <w:noProof/>
                <w:webHidden/>
              </w:rPr>
              <w:fldChar w:fldCharType="separate"/>
            </w:r>
            <w:r>
              <w:rPr>
                <w:noProof/>
                <w:webHidden/>
              </w:rPr>
              <w:t>136</w:t>
            </w:r>
            <w:r>
              <w:rPr>
                <w:noProof/>
                <w:webHidden/>
              </w:rPr>
              <w:fldChar w:fldCharType="end"/>
            </w:r>
          </w:hyperlink>
        </w:p>
        <w:p w14:paraId="5C529E5A" w14:textId="6AEA62F1"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4" w:history="1">
            <w:r w:rsidRPr="00384636">
              <w:rPr>
                <w:rStyle w:val="Hipervnculo"/>
                <w:noProof/>
                <w:lang w:val="es-MX"/>
              </w:rPr>
              <w:t>6.1.5.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Continuidad, resiliencia, contratación y sostenibilidad</w:t>
            </w:r>
            <w:r>
              <w:rPr>
                <w:noProof/>
                <w:webHidden/>
              </w:rPr>
              <w:tab/>
            </w:r>
            <w:r>
              <w:rPr>
                <w:noProof/>
                <w:webHidden/>
              </w:rPr>
              <w:fldChar w:fldCharType="begin"/>
            </w:r>
            <w:r>
              <w:rPr>
                <w:noProof/>
                <w:webHidden/>
              </w:rPr>
              <w:instrText xml:space="preserve"> PAGEREF _Toc239440984 \h </w:instrText>
            </w:r>
            <w:r>
              <w:rPr>
                <w:noProof/>
                <w:webHidden/>
              </w:rPr>
            </w:r>
            <w:r>
              <w:rPr>
                <w:noProof/>
                <w:webHidden/>
              </w:rPr>
              <w:fldChar w:fldCharType="separate"/>
            </w:r>
            <w:r>
              <w:rPr>
                <w:noProof/>
                <w:webHidden/>
              </w:rPr>
              <w:t>137</w:t>
            </w:r>
            <w:r>
              <w:rPr>
                <w:noProof/>
                <w:webHidden/>
              </w:rPr>
              <w:fldChar w:fldCharType="end"/>
            </w:r>
          </w:hyperlink>
        </w:p>
        <w:p w14:paraId="6891B75D" w14:textId="60F535C1"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5" w:history="1">
            <w:r w:rsidRPr="00384636">
              <w:rPr>
                <w:rStyle w:val="Hipervnculo"/>
                <w:noProof/>
                <w:lang w:val="es-MX"/>
              </w:rPr>
              <w:t>6.2.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Inteligencia artificial y estudiantes con necesidades diversas</w:t>
            </w:r>
            <w:r>
              <w:rPr>
                <w:noProof/>
                <w:webHidden/>
              </w:rPr>
              <w:tab/>
            </w:r>
            <w:r>
              <w:rPr>
                <w:noProof/>
                <w:webHidden/>
              </w:rPr>
              <w:fldChar w:fldCharType="begin"/>
            </w:r>
            <w:r>
              <w:rPr>
                <w:noProof/>
                <w:webHidden/>
              </w:rPr>
              <w:instrText xml:space="preserve"> PAGEREF _Toc239440985 \h </w:instrText>
            </w:r>
            <w:r>
              <w:rPr>
                <w:noProof/>
                <w:webHidden/>
              </w:rPr>
            </w:r>
            <w:r>
              <w:rPr>
                <w:noProof/>
                <w:webHidden/>
              </w:rPr>
              <w:fldChar w:fldCharType="separate"/>
            </w:r>
            <w:r>
              <w:rPr>
                <w:noProof/>
                <w:webHidden/>
              </w:rPr>
              <w:t>138</w:t>
            </w:r>
            <w:r>
              <w:rPr>
                <w:noProof/>
                <w:webHidden/>
              </w:rPr>
              <w:fldChar w:fldCharType="end"/>
            </w:r>
          </w:hyperlink>
        </w:p>
        <w:p w14:paraId="39344E5E" w14:textId="63AA8920"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6" w:history="1">
            <w:r w:rsidRPr="00384636">
              <w:rPr>
                <w:rStyle w:val="Hipervnculo"/>
                <w:noProof/>
                <w:lang w:val="es-MX"/>
              </w:rPr>
              <w:t>6.2.1.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Diversidad, modelo social y enfoque de derechos</w:t>
            </w:r>
            <w:r>
              <w:rPr>
                <w:noProof/>
                <w:webHidden/>
              </w:rPr>
              <w:tab/>
            </w:r>
            <w:r>
              <w:rPr>
                <w:noProof/>
                <w:webHidden/>
              </w:rPr>
              <w:fldChar w:fldCharType="begin"/>
            </w:r>
            <w:r>
              <w:rPr>
                <w:noProof/>
                <w:webHidden/>
              </w:rPr>
              <w:instrText xml:space="preserve"> PAGEREF _Toc239440986 \h </w:instrText>
            </w:r>
            <w:r>
              <w:rPr>
                <w:noProof/>
                <w:webHidden/>
              </w:rPr>
            </w:r>
            <w:r>
              <w:rPr>
                <w:noProof/>
                <w:webHidden/>
              </w:rPr>
              <w:fldChar w:fldCharType="separate"/>
            </w:r>
            <w:r>
              <w:rPr>
                <w:noProof/>
                <w:webHidden/>
              </w:rPr>
              <w:t>138</w:t>
            </w:r>
            <w:r>
              <w:rPr>
                <w:noProof/>
                <w:webHidden/>
              </w:rPr>
              <w:fldChar w:fldCharType="end"/>
            </w:r>
          </w:hyperlink>
        </w:p>
        <w:p w14:paraId="26AF2EFD" w14:textId="7096EBC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7" w:history="1">
            <w:r w:rsidRPr="00384636">
              <w:rPr>
                <w:rStyle w:val="Hipervnculo"/>
                <w:noProof/>
                <w:lang w:val="es-MX"/>
              </w:rPr>
              <w:t>6.2.2.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Discapacidad visual, auditiva y apoyos multimodales</w:t>
            </w:r>
            <w:r>
              <w:rPr>
                <w:noProof/>
                <w:webHidden/>
              </w:rPr>
              <w:tab/>
            </w:r>
            <w:r>
              <w:rPr>
                <w:noProof/>
                <w:webHidden/>
              </w:rPr>
              <w:fldChar w:fldCharType="begin"/>
            </w:r>
            <w:r>
              <w:rPr>
                <w:noProof/>
                <w:webHidden/>
              </w:rPr>
              <w:instrText xml:space="preserve"> PAGEREF _Toc239440987 \h </w:instrText>
            </w:r>
            <w:r>
              <w:rPr>
                <w:noProof/>
                <w:webHidden/>
              </w:rPr>
            </w:r>
            <w:r>
              <w:rPr>
                <w:noProof/>
                <w:webHidden/>
              </w:rPr>
              <w:fldChar w:fldCharType="separate"/>
            </w:r>
            <w:r>
              <w:rPr>
                <w:noProof/>
                <w:webHidden/>
              </w:rPr>
              <w:t>140</w:t>
            </w:r>
            <w:r>
              <w:rPr>
                <w:noProof/>
                <w:webHidden/>
              </w:rPr>
              <w:fldChar w:fldCharType="end"/>
            </w:r>
          </w:hyperlink>
        </w:p>
        <w:p w14:paraId="29AA5449" w14:textId="1D4AC5B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8" w:history="1">
            <w:r w:rsidRPr="00384636">
              <w:rPr>
                <w:rStyle w:val="Hipervnculo"/>
                <w:noProof/>
                <w:lang w:val="es-MX"/>
              </w:rPr>
              <w:t>6.2.3.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Diversidad motora, del habla y neurodiversidad</w:t>
            </w:r>
            <w:r>
              <w:rPr>
                <w:noProof/>
                <w:webHidden/>
              </w:rPr>
              <w:tab/>
            </w:r>
            <w:r>
              <w:rPr>
                <w:noProof/>
                <w:webHidden/>
              </w:rPr>
              <w:fldChar w:fldCharType="begin"/>
            </w:r>
            <w:r>
              <w:rPr>
                <w:noProof/>
                <w:webHidden/>
              </w:rPr>
              <w:instrText xml:space="preserve"> PAGEREF _Toc239440988 \h </w:instrText>
            </w:r>
            <w:r>
              <w:rPr>
                <w:noProof/>
                <w:webHidden/>
              </w:rPr>
            </w:r>
            <w:r>
              <w:rPr>
                <w:noProof/>
                <w:webHidden/>
              </w:rPr>
              <w:fldChar w:fldCharType="separate"/>
            </w:r>
            <w:r>
              <w:rPr>
                <w:noProof/>
                <w:webHidden/>
              </w:rPr>
              <w:t>141</w:t>
            </w:r>
            <w:r>
              <w:rPr>
                <w:noProof/>
                <w:webHidden/>
              </w:rPr>
              <w:fldChar w:fldCharType="end"/>
            </w:r>
          </w:hyperlink>
        </w:p>
        <w:p w14:paraId="06704D17" w14:textId="067C8AE8"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89" w:history="1">
            <w:r w:rsidRPr="00384636">
              <w:rPr>
                <w:rStyle w:val="Hipervnculo"/>
                <w:noProof/>
                <w:lang w:val="es-MX"/>
              </w:rPr>
              <w:t>6.2.4.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Salud mental, carga digital y diversidad cultural</w:t>
            </w:r>
            <w:r>
              <w:rPr>
                <w:noProof/>
                <w:webHidden/>
              </w:rPr>
              <w:tab/>
            </w:r>
            <w:r>
              <w:rPr>
                <w:noProof/>
                <w:webHidden/>
              </w:rPr>
              <w:fldChar w:fldCharType="begin"/>
            </w:r>
            <w:r>
              <w:rPr>
                <w:noProof/>
                <w:webHidden/>
              </w:rPr>
              <w:instrText xml:space="preserve"> PAGEREF _Toc239440989 \h </w:instrText>
            </w:r>
            <w:r>
              <w:rPr>
                <w:noProof/>
                <w:webHidden/>
              </w:rPr>
            </w:r>
            <w:r>
              <w:rPr>
                <w:noProof/>
                <w:webHidden/>
              </w:rPr>
              <w:fldChar w:fldCharType="separate"/>
            </w:r>
            <w:r>
              <w:rPr>
                <w:noProof/>
                <w:webHidden/>
              </w:rPr>
              <w:t>142</w:t>
            </w:r>
            <w:r>
              <w:rPr>
                <w:noProof/>
                <w:webHidden/>
              </w:rPr>
              <w:fldChar w:fldCharType="end"/>
            </w:r>
          </w:hyperlink>
        </w:p>
        <w:p w14:paraId="1D4A134B" w14:textId="07D34C9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0" w:history="1">
            <w:r w:rsidRPr="00384636">
              <w:rPr>
                <w:rStyle w:val="Hipervnculo"/>
                <w:noProof/>
                <w:lang w:val="es-MX"/>
              </w:rPr>
              <w:t>6.2.5.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Autonomía, privacidad, codiseño y evaluación</w:t>
            </w:r>
            <w:r>
              <w:rPr>
                <w:noProof/>
                <w:webHidden/>
              </w:rPr>
              <w:tab/>
            </w:r>
            <w:r>
              <w:rPr>
                <w:noProof/>
                <w:webHidden/>
              </w:rPr>
              <w:fldChar w:fldCharType="begin"/>
            </w:r>
            <w:r>
              <w:rPr>
                <w:noProof/>
                <w:webHidden/>
              </w:rPr>
              <w:instrText xml:space="preserve"> PAGEREF _Toc239440990 \h </w:instrText>
            </w:r>
            <w:r>
              <w:rPr>
                <w:noProof/>
                <w:webHidden/>
              </w:rPr>
            </w:r>
            <w:r>
              <w:rPr>
                <w:noProof/>
                <w:webHidden/>
              </w:rPr>
              <w:fldChar w:fldCharType="separate"/>
            </w:r>
            <w:r>
              <w:rPr>
                <w:noProof/>
                <w:webHidden/>
              </w:rPr>
              <w:t>143</w:t>
            </w:r>
            <w:r>
              <w:rPr>
                <w:noProof/>
                <w:webHidden/>
              </w:rPr>
              <w:fldChar w:fldCharType="end"/>
            </w:r>
          </w:hyperlink>
        </w:p>
        <w:p w14:paraId="3DD2F6F8" w14:textId="27B00FEE"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1" w:history="1">
            <w:r w:rsidRPr="00384636">
              <w:rPr>
                <w:rStyle w:val="Hipervnculo"/>
                <w:noProof/>
                <w:lang w:val="es-MX"/>
              </w:rPr>
              <w:t>6.3.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Accesibilidad digital</w:t>
            </w:r>
            <w:r>
              <w:rPr>
                <w:noProof/>
                <w:webHidden/>
              </w:rPr>
              <w:tab/>
            </w:r>
            <w:r>
              <w:rPr>
                <w:noProof/>
                <w:webHidden/>
              </w:rPr>
              <w:fldChar w:fldCharType="begin"/>
            </w:r>
            <w:r>
              <w:rPr>
                <w:noProof/>
                <w:webHidden/>
              </w:rPr>
              <w:instrText xml:space="preserve"> PAGEREF _Toc239440991 \h </w:instrText>
            </w:r>
            <w:r>
              <w:rPr>
                <w:noProof/>
                <w:webHidden/>
              </w:rPr>
            </w:r>
            <w:r>
              <w:rPr>
                <w:noProof/>
                <w:webHidden/>
              </w:rPr>
              <w:fldChar w:fldCharType="separate"/>
            </w:r>
            <w:r>
              <w:rPr>
                <w:noProof/>
                <w:webHidden/>
              </w:rPr>
              <w:t>144</w:t>
            </w:r>
            <w:r>
              <w:rPr>
                <w:noProof/>
                <w:webHidden/>
              </w:rPr>
              <w:fldChar w:fldCharType="end"/>
            </w:r>
          </w:hyperlink>
        </w:p>
        <w:p w14:paraId="61594FF3" w14:textId="02716FB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2" w:history="1">
            <w:r w:rsidRPr="00384636">
              <w:rPr>
                <w:rStyle w:val="Hipervnculo"/>
                <w:noProof/>
                <w:lang w:val="es-MX"/>
              </w:rPr>
              <w:t>6.3.1.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Accesibilidad como proceso institucional de calidad</w:t>
            </w:r>
            <w:r>
              <w:rPr>
                <w:noProof/>
                <w:webHidden/>
              </w:rPr>
              <w:tab/>
            </w:r>
            <w:r>
              <w:rPr>
                <w:noProof/>
                <w:webHidden/>
              </w:rPr>
              <w:fldChar w:fldCharType="begin"/>
            </w:r>
            <w:r>
              <w:rPr>
                <w:noProof/>
                <w:webHidden/>
              </w:rPr>
              <w:instrText xml:space="preserve"> PAGEREF _Toc239440992 \h </w:instrText>
            </w:r>
            <w:r>
              <w:rPr>
                <w:noProof/>
                <w:webHidden/>
              </w:rPr>
            </w:r>
            <w:r>
              <w:rPr>
                <w:noProof/>
                <w:webHidden/>
              </w:rPr>
              <w:fldChar w:fldCharType="separate"/>
            </w:r>
            <w:r>
              <w:rPr>
                <w:noProof/>
                <w:webHidden/>
              </w:rPr>
              <w:t>144</w:t>
            </w:r>
            <w:r>
              <w:rPr>
                <w:noProof/>
                <w:webHidden/>
              </w:rPr>
              <w:fldChar w:fldCharType="end"/>
            </w:r>
          </w:hyperlink>
        </w:p>
        <w:p w14:paraId="3A5CFE89" w14:textId="09E370C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3" w:history="1">
            <w:r w:rsidRPr="00384636">
              <w:rPr>
                <w:rStyle w:val="Hipervnculo"/>
                <w:noProof/>
                <w:lang w:val="es-MX"/>
              </w:rPr>
              <w:t>6.3.2.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Estructura semántica, navegación, teclado y tiempo</w:t>
            </w:r>
            <w:r>
              <w:rPr>
                <w:noProof/>
                <w:webHidden/>
              </w:rPr>
              <w:tab/>
            </w:r>
            <w:r>
              <w:rPr>
                <w:noProof/>
                <w:webHidden/>
              </w:rPr>
              <w:fldChar w:fldCharType="begin"/>
            </w:r>
            <w:r>
              <w:rPr>
                <w:noProof/>
                <w:webHidden/>
              </w:rPr>
              <w:instrText xml:space="preserve"> PAGEREF _Toc239440993 \h </w:instrText>
            </w:r>
            <w:r>
              <w:rPr>
                <w:noProof/>
                <w:webHidden/>
              </w:rPr>
            </w:r>
            <w:r>
              <w:rPr>
                <w:noProof/>
                <w:webHidden/>
              </w:rPr>
              <w:fldChar w:fldCharType="separate"/>
            </w:r>
            <w:r>
              <w:rPr>
                <w:noProof/>
                <w:webHidden/>
              </w:rPr>
              <w:t>146</w:t>
            </w:r>
            <w:r>
              <w:rPr>
                <w:noProof/>
                <w:webHidden/>
              </w:rPr>
              <w:fldChar w:fldCharType="end"/>
            </w:r>
          </w:hyperlink>
        </w:p>
        <w:p w14:paraId="1C9D9EC5" w14:textId="011A37BE"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4" w:history="1">
            <w:r w:rsidRPr="00384636">
              <w:rPr>
                <w:rStyle w:val="Hipervnculo"/>
                <w:noProof/>
                <w:lang w:val="es-MX"/>
              </w:rPr>
              <w:t>6.3.3.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Color, contraste y alternativas multimedia</w:t>
            </w:r>
            <w:r>
              <w:rPr>
                <w:noProof/>
                <w:webHidden/>
              </w:rPr>
              <w:tab/>
            </w:r>
            <w:r>
              <w:rPr>
                <w:noProof/>
                <w:webHidden/>
              </w:rPr>
              <w:fldChar w:fldCharType="begin"/>
            </w:r>
            <w:r>
              <w:rPr>
                <w:noProof/>
                <w:webHidden/>
              </w:rPr>
              <w:instrText xml:space="preserve"> PAGEREF _Toc239440994 \h </w:instrText>
            </w:r>
            <w:r>
              <w:rPr>
                <w:noProof/>
                <w:webHidden/>
              </w:rPr>
            </w:r>
            <w:r>
              <w:rPr>
                <w:noProof/>
                <w:webHidden/>
              </w:rPr>
              <w:fldChar w:fldCharType="separate"/>
            </w:r>
            <w:r>
              <w:rPr>
                <w:noProof/>
                <w:webHidden/>
              </w:rPr>
              <w:t>147</w:t>
            </w:r>
            <w:r>
              <w:rPr>
                <w:noProof/>
                <w:webHidden/>
              </w:rPr>
              <w:fldChar w:fldCharType="end"/>
            </w:r>
          </w:hyperlink>
        </w:p>
        <w:p w14:paraId="65E0AC9A" w14:textId="55463CC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5" w:history="1">
            <w:r w:rsidRPr="00384636">
              <w:rPr>
                <w:rStyle w:val="Hipervnculo"/>
                <w:noProof/>
                <w:lang w:val="es-MX"/>
              </w:rPr>
              <w:t>6.3.4.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Documentos, matemáticas, ciencias y visualizaciones</w:t>
            </w:r>
            <w:r>
              <w:rPr>
                <w:noProof/>
                <w:webHidden/>
              </w:rPr>
              <w:tab/>
            </w:r>
            <w:r>
              <w:rPr>
                <w:noProof/>
                <w:webHidden/>
              </w:rPr>
              <w:fldChar w:fldCharType="begin"/>
            </w:r>
            <w:r>
              <w:rPr>
                <w:noProof/>
                <w:webHidden/>
              </w:rPr>
              <w:instrText xml:space="preserve"> PAGEREF _Toc239440995 \h </w:instrText>
            </w:r>
            <w:r>
              <w:rPr>
                <w:noProof/>
                <w:webHidden/>
              </w:rPr>
            </w:r>
            <w:r>
              <w:rPr>
                <w:noProof/>
                <w:webHidden/>
              </w:rPr>
              <w:fldChar w:fldCharType="separate"/>
            </w:r>
            <w:r>
              <w:rPr>
                <w:noProof/>
                <w:webHidden/>
              </w:rPr>
              <w:t>148</w:t>
            </w:r>
            <w:r>
              <w:rPr>
                <w:noProof/>
                <w:webHidden/>
              </w:rPr>
              <w:fldChar w:fldCharType="end"/>
            </w:r>
          </w:hyperlink>
        </w:p>
        <w:p w14:paraId="774A8342" w14:textId="49F431B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6" w:history="1">
            <w:r w:rsidRPr="00384636">
              <w:rPr>
                <w:rStyle w:val="Hipervnculo"/>
                <w:noProof/>
                <w:lang w:val="es-MX"/>
              </w:rPr>
              <w:t>6.3.5.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Formularios, autenticación, evaluación y mejora continua</w:t>
            </w:r>
            <w:r>
              <w:rPr>
                <w:noProof/>
                <w:webHidden/>
              </w:rPr>
              <w:tab/>
            </w:r>
            <w:r>
              <w:rPr>
                <w:noProof/>
                <w:webHidden/>
              </w:rPr>
              <w:fldChar w:fldCharType="begin"/>
            </w:r>
            <w:r>
              <w:rPr>
                <w:noProof/>
                <w:webHidden/>
              </w:rPr>
              <w:instrText xml:space="preserve"> PAGEREF _Toc239440996 \h </w:instrText>
            </w:r>
            <w:r>
              <w:rPr>
                <w:noProof/>
                <w:webHidden/>
              </w:rPr>
            </w:r>
            <w:r>
              <w:rPr>
                <w:noProof/>
                <w:webHidden/>
              </w:rPr>
              <w:fldChar w:fldCharType="separate"/>
            </w:r>
            <w:r>
              <w:rPr>
                <w:noProof/>
                <w:webHidden/>
              </w:rPr>
              <w:t>149</w:t>
            </w:r>
            <w:r>
              <w:rPr>
                <w:noProof/>
                <w:webHidden/>
              </w:rPr>
              <w:fldChar w:fldCharType="end"/>
            </w:r>
          </w:hyperlink>
        </w:p>
        <w:p w14:paraId="009A69BA" w14:textId="7BB00140"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7" w:history="1">
            <w:r w:rsidRPr="00384636">
              <w:rPr>
                <w:rStyle w:val="Hipervnculo"/>
                <w:noProof/>
                <w:lang w:val="es-MX"/>
              </w:rPr>
              <w:t>6.4.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Desigualdades y exclusión tecnológica</w:t>
            </w:r>
            <w:r>
              <w:rPr>
                <w:noProof/>
                <w:webHidden/>
              </w:rPr>
              <w:tab/>
            </w:r>
            <w:r>
              <w:rPr>
                <w:noProof/>
                <w:webHidden/>
              </w:rPr>
              <w:fldChar w:fldCharType="begin"/>
            </w:r>
            <w:r>
              <w:rPr>
                <w:noProof/>
                <w:webHidden/>
              </w:rPr>
              <w:instrText xml:space="preserve"> PAGEREF _Toc239440997 \h </w:instrText>
            </w:r>
            <w:r>
              <w:rPr>
                <w:noProof/>
                <w:webHidden/>
              </w:rPr>
            </w:r>
            <w:r>
              <w:rPr>
                <w:noProof/>
                <w:webHidden/>
              </w:rPr>
              <w:fldChar w:fldCharType="separate"/>
            </w:r>
            <w:r>
              <w:rPr>
                <w:noProof/>
                <w:webHidden/>
              </w:rPr>
              <w:t>150</w:t>
            </w:r>
            <w:r>
              <w:rPr>
                <w:noProof/>
                <w:webHidden/>
              </w:rPr>
              <w:fldChar w:fldCharType="end"/>
            </w:r>
          </w:hyperlink>
        </w:p>
        <w:p w14:paraId="3ED6A3AA" w14:textId="1B2C068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8" w:history="1">
            <w:r w:rsidRPr="00384636">
              <w:rPr>
                <w:rStyle w:val="Hipervnculo"/>
                <w:noProof/>
                <w:lang w:val="es-MX"/>
              </w:rPr>
              <w:t>6.4.1.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Niveles de brecha e intersección de desigualdades</w:t>
            </w:r>
            <w:r>
              <w:rPr>
                <w:noProof/>
                <w:webHidden/>
              </w:rPr>
              <w:tab/>
            </w:r>
            <w:r>
              <w:rPr>
                <w:noProof/>
                <w:webHidden/>
              </w:rPr>
              <w:fldChar w:fldCharType="begin"/>
            </w:r>
            <w:r>
              <w:rPr>
                <w:noProof/>
                <w:webHidden/>
              </w:rPr>
              <w:instrText xml:space="preserve"> PAGEREF _Toc239440998 \h </w:instrText>
            </w:r>
            <w:r>
              <w:rPr>
                <w:noProof/>
                <w:webHidden/>
              </w:rPr>
            </w:r>
            <w:r>
              <w:rPr>
                <w:noProof/>
                <w:webHidden/>
              </w:rPr>
              <w:fldChar w:fldCharType="separate"/>
            </w:r>
            <w:r>
              <w:rPr>
                <w:noProof/>
                <w:webHidden/>
              </w:rPr>
              <w:t>150</w:t>
            </w:r>
            <w:r>
              <w:rPr>
                <w:noProof/>
                <w:webHidden/>
              </w:rPr>
              <w:fldChar w:fldCharType="end"/>
            </w:r>
          </w:hyperlink>
        </w:p>
        <w:p w14:paraId="4B519935" w14:textId="5BDD06E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0999" w:history="1">
            <w:r w:rsidRPr="00384636">
              <w:rPr>
                <w:rStyle w:val="Hipervnculo"/>
                <w:noProof/>
                <w:lang w:val="es-MX"/>
              </w:rPr>
              <w:t>6.4.2.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Pobreza de datos y retroalimentación de la desventaja</w:t>
            </w:r>
            <w:r>
              <w:rPr>
                <w:noProof/>
                <w:webHidden/>
              </w:rPr>
              <w:tab/>
            </w:r>
            <w:r>
              <w:rPr>
                <w:noProof/>
                <w:webHidden/>
              </w:rPr>
              <w:fldChar w:fldCharType="begin"/>
            </w:r>
            <w:r>
              <w:rPr>
                <w:noProof/>
                <w:webHidden/>
              </w:rPr>
              <w:instrText xml:space="preserve"> PAGEREF _Toc239440999 \h </w:instrText>
            </w:r>
            <w:r>
              <w:rPr>
                <w:noProof/>
                <w:webHidden/>
              </w:rPr>
            </w:r>
            <w:r>
              <w:rPr>
                <w:noProof/>
                <w:webHidden/>
              </w:rPr>
              <w:fldChar w:fldCharType="separate"/>
            </w:r>
            <w:r>
              <w:rPr>
                <w:noProof/>
                <w:webHidden/>
              </w:rPr>
              <w:t>152</w:t>
            </w:r>
            <w:r>
              <w:rPr>
                <w:noProof/>
                <w:webHidden/>
              </w:rPr>
              <w:fldChar w:fldCharType="end"/>
            </w:r>
          </w:hyperlink>
        </w:p>
        <w:p w14:paraId="146F7381" w14:textId="737F683A"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0" w:history="1">
            <w:r w:rsidRPr="00384636">
              <w:rPr>
                <w:rStyle w:val="Hipervnculo"/>
                <w:noProof/>
                <w:lang w:val="es-MX"/>
              </w:rPr>
              <w:t>6.4.3.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Exclusión por canales digitales, vigilancia y costos ocultos</w:t>
            </w:r>
            <w:r>
              <w:rPr>
                <w:noProof/>
                <w:webHidden/>
              </w:rPr>
              <w:tab/>
            </w:r>
            <w:r>
              <w:rPr>
                <w:noProof/>
                <w:webHidden/>
              </w:rPr>
              <w:fldChar w:fldCharType="begin"/>
            </w:r>
            <w:r>
              <w:rPr>
                <w:noProof/>
                <w:webHidden/>
              </w:rPr>
              <w:instrText xml:space="preserve"> PAGEREF _Toc239441000 \h </w:instrText>
            </w:r>
            <w:r>
              <w:rPr>
                <w:noProof/>
                <w:webHidden/>
              </w:rPr>
            </w:r>
            <w:r>
              <w:rPr>
                <w:noProof/>
                <w:webHidden/>
              </w:rPr>
              <w:fldChar w:fldCharType="separate"/>
            </w:r>
            <w:r>
              <w:rPr>
                <w:noProof/>
                <w:webHidden/>
              </w:rPr>
              <w:t>153</w:t>
            </w:r>
            <w:r>
              <w:rPr>
                <w:noProof/>
                <w:webHidden/>
              </w:rPr>
              <w:fldChar w:fldCharType="end"/>
            </w:r>
          </w:hyperlink>
        </w:p>
        <w:p w14:paraId="12AEC8E6" w14:textId="00CA474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1" w:history="1">
            <w:r w:rsidRPr="00384636">
              <w:rPr>
                <w:rStyle w:val="Hipervnculo"/>
                <w:noProof/>
                <w:lang w:val="es-MX"/>
              </w:rPr>
              <w:t>6.4.4.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Alfabetización crítica y universalismo focalizado</w:t>
            </w:r>
            <w:r>
              <w:rPr>
                <w:noProof/>
                <w:webHidden/>
              </w:rPr>
              <w:tab/>
            </w:r>
            <w:r>
              <w:rPr>
                <w:noProof/>
                <w:webHidden/>
              </w:rPr>
              <w:fldChar w:fldCharType="begin"/>
            </w:r>
            <w:r>
              <w:rPr>
                <w:noProof/>
                <w:webHidden/>
              </w:rPr>
              <w:instrText xml:space="preserve"> PAGEREF _Toc239441001 \h </w:instrText>
            </w:r>
            <w:r>
              <w:rPr>
                <w:noProof/>
                <w:webHidden/>
              </w:rPr>
            </w:r>
            <w:r>
              <w:rPr>
                <w:noProof/>
                <w:webHidden/>
              </w:rPr>
              <w:fldChar w:fldCharType="separate"/>
            </w:r>
            <w:r>
              <w:rPr>
                <w:noProof/>
                <w:webHidden/>
              </w:rPr>
              <w:t>154</w:t>
            </w:r>
            <w:r>
              <w:rPr>
                <w:noProof/>
                <w:webHidden/>
              </w:rPr>
              <w:fldChar w:fldCharType="end"/>
            </w:r>
          </w:hyperlink>
        </w:p>
        <w:p w14:paraId="565DD966" w14:textId="61C80ED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2" w:history="1">
            <w:r w:rsidRPr="00384636">
              <w:rPr>
                <w:rStyle w:val="Hipervnculo"/>
                <w:noProof/>
                <w:lang w:val="es-MX"/>
              </w:rPr>
              <w:t>6.4.5.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Participación, alianzas territoriales y evaluación distributiva</w:t>
            </w:r>
            <w:r>
              <w:rPr>
                <w:noProof/>
                <w:webHidden/>
              </w:rPr>
              <w:tab/>
            </w:r>
            <w:r>
              <w:rPr>
                <w:noProof/>
                <w:webHidden/>
              </w:rPr>
              <w:fldChar w:fldCharType="begin"/>
            </w:r>
            <w:r>
              <w:rPr>
                <w:noProof/>
                <w:webHidden/>
              </w:rPr>
              <w:instrText xml:space="preserve"> PAGEREF _Toc239441002 \h </w:instrText>
            </w:r>
            <w:r>
              <w:rPr>
                <w:noProof/>
                <w:webHidden/>
              </w:rPr>
            </w:r>
            <w:r>
              <w:rPr>
                <w:noProof/>
                <w:webHidden/>
              </w:rPr>
              <w:fldChar w:fldCharType="separate"/>
            </w:r>
            <w:r>
              <w:rPr>
                <w:noProof/>
                <w:webHidden/>
              </w:rPr>
              <w:t>155</w:t>
            </w:r>
            <w:r>
              <w:rPr>
                <w:noProof/>
                <w:webHidden/>
              </w:rPr>
              <w:fldChar w:fldCharType="end"/>
            </w:r>
          </w:hyperlink>
        </w:p>
        <w:p w14:paraId="696A0095" w14:textId="383730B6" w:rsidR="007A71E1" w:rsidRDefault="007A71E1">
          <w:pPr>
            <w:pStyle w:val="TDC1"/>
            <w:tabs>
              <w:tab w:val="left" w:pos="440"/>
              <w:tab w:val="right" w:leader="dot" w:pos="8494"/>
            </w:tabs>
            <w:rPr>
              <w:rFonts w:asciiTheme="minorHAnsi" w:eastAsiaTheme="minorEastAsia" w:hAnsiTheme="minorHAnsi" w:cstheme="minorBidi"/>
              <w:noProof/>
              <w:kern w:val="2"/>
              <w:sz w:val="24"/>
              <w:szCs w:val="24"/>
              <w:lang w:val="es-MX" w:eastAsia="es-MX"/>
              <w14:ligatures w14:val="standardContextual"/>
            </w:rPr>
          </w:pPr>
          <w:hyperlink w:anchor="_Toc239441003" w:history="1">
            <w:r w:rsidRPr="00384636">
              <w:rPr>
                <w:rStyle w:val="Hipervnculo"/>
                <w:noProof/>
              </w:rPr>
              <w:t>7.</w:t>
            </w:r>
            <w:r>
              <w:rPr>
                <w:rFonts w:asciiTheme="minorHAnsi" w:eastAsiaTheme="minorEastAsia" w:hAnsiTheme="minorHAnsi" w:cstheme="minorBidi"/>
                <w:noProof/>
                <w:kern w:val="2"/>
                <w:sz w:val="24"/>
                <w:szCs w:val="24"/>
                <w:lang w:val="es-MX" w:eastAsia="es-MX"/>
                <w14:ligatures w14:val="standardContextual"/>
              </w:rPr>
              <w:tab/>
            </w:r>
            <w:r w:rsidRPr="00384636">
              <w:rPr>
                <w:rStyle w:val="Hipervnculo"/>
                <w:noProof/>
              </w:rPr>
              <w:t>Capítulo 7 Gobernanza y perspectivas futuras de la educación superior con IA</w:t>
            </w:r>
            <w:r>
              <w:rPr>
                <w:noProof/>
                <w:webHidden/>
              </w:rPr>
              <w:tab/>
            </w:r>
            <w:r>
              <w:rPr>
                <w:noProof/>
                <w:webHidden/>
              </w:rPr>
              <w:fldChar w:fldCharType="begin"/>
            </w:r>
            <w:r>
              <w:rPr>
                <w:noProof/>
                <w:webHidden/>
              </w:rPr>
              <w:instrText xml:space="preserve"> PAGEREF _Toc239441003 \h </w:instrText>
            </w:r>
            <w:r>
              <w:rPr>
                <w:noProof/>
                <w:webHidden/>
              </w:rPr>
            </w:r>
            <w:r>
              <w:rPr>
                <w:noProof/>
                <w:webHidden/>
              </w:rPr>
              <w:fldChar w:fldCharType="separate"/>
            </w:r>
            <w:r>
              <w:rPr>
                <w:noProof/>
                <w:webHidden/>
              </w:rPr>
              <w:t>158</w:t>
            </w:r>
            <w:r>
              <w:rPr>
                <w:noProof/>
                <w:webHidden/>
              </w:rPr>
              <w:fldChar w:fldCharType="end"/>
            </w:r>
          </w:hyperlink>
        </w:p>
        <w:p w14:paraId="22A54EDD" w14:textId="1E37C648"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4" w:history="1">
            <w:r w:rsidRPr="00384636">
              <w:rPr>
                <w:rStyle w:val="Hipervnculo"/>
                <w:noProof/>
                <w:lang w:val="es-MX"/>
              </w:rPr>
              <w:t>7.1.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Gobernanza institucional de la inteligencia artificial</w:t>
            </w:r>
            <w:r>
              <w:rPr>
                <w:noProof/>
                <w:webHidden/>
              </w:rPr>
              <w:tab/>
            </w:r>
            <w:r>
              <w:rPr>
                <w:noProof/>
                <w:webHidden/>
              </w:rPr>
              <w:fldChar w:fldCharType="begin"/>
            </w:r>
            <w:r>
              <w:rPr>
                <w:noProof/>
                <w:webHidden/>
              </w:rPr>
              <w:instrText xml:space="preserve"> PAGEREF _Toc239441004 \h </w:instrText>
            </w:r>
            <w:r>
              <w:rPr>
                <w:noProof/>
                <w:webHidden/>
              </w:rPr>
            </w:r>
            <w:r>
              <w:rPr>
                <w:noProof/>
                <w:webHidden/>
              </w:rPr>
              <w:fldChar w:fldCharType="separate"/>
            </w:r>
            <w:r>
              <w:rPr>
                <w:noProof/>
                <w:webHidden/>
              </w:rPr>
              <w:t>160</w:t>
            </w:r>
            <w:r>
              <w:rPr>
                <w:noProof/>
                <w:webHidden/>
              </w:rPr>
              <w:fldChar w:fldCharType="end"/>
            </w:r>
          </w:hyperlink>
        </w:p>
        <w:p w14:paraId="3ACF3BFE" w14:textId="14C8C2C3"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5" w:history="1">
            <w:r w:rsidRPr="00384636">
              <w:rPr>
                <w:rStyle w:val="Hipervnculo"/>
                <w:noProof/>
                <w:lang w:val="es-MX"/>
              </w:rPr>
              <w:t>7.1.1.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Misión, principios y arquitectura de responsabilidades</w:t>
            </w:r>
            <w:r>
              <w:rPr>
                <w:noProof/>
                <w:webHidden/>
              </w:rPr>
              <w:tab/>
            </w:r>
            <w:r>
              <w:rPr>
                <w:noProof/>
                <w:webHidden/>
              </w:rPr>
              <w:fldChar w:fldCharType="begin"/>
            </w:r>
            <w:r>
              <w:rPr>
                <w:noProof/>
                <w:webHidden/>
              </w:rPr>
              <w:instrText xml:space="preserve"> PAGEREF _Toc239441005 \h </w:instrText>
            </w:r>
            <w:r>
              <w:rPr>
                <w:noProof/>
                <w:webHidden/>
              </w:rPr>
            </w:r>
            <w:r>
              <w:rPr>
                <w:noProof/>
                <w:webHidden/>
              </w:rPr>
              <w:fldChar w:fldCharType="separate"/>
            </w:r>
            <w:r>
              <w:rPr>
                <w:noProof/>
                <w:webHidden/>
              </w:rPr>
              <w:t>160</w:t>
            </w:r>
            <w:r>
              <w:rPr>
                <w:noProof/>
                <w:webHidden/>
              </w:rPr>
              <w:fldChar w:fldCharType="end"/>
            </w:r>
          </w:hyperlink>
        </w:p>
        <w:p w14:paraId="3B3D5298" w14:textId="7A21B87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6" w:history="1">
            <w:r w:rsidRPr="00384636">
              <w:rPr>
                <w:rStyle w:val="Hipervnculo"/>
                <w:noProof/>
                <w:lang w:val="es-MX"/>
              </w:rPr>
              <w:t>7.1.2.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Inventario y clasificación proporcional del riesgo</w:t>
            </w:r>
            <w:r>
              <w:rPr>
                <w:noProof/>
                <w:webHidden/>
              </w:rPr>
              <w:tab/>
            </w:r>
            <w:r>
              <w:rPr>
                <w:noProof/>
                <w:webHidden/>
              </w:rPr>
              <w:fldChar w:fldCharType="begin"/>
            </w:r>
            <w:r>
              <w:rPr>
                <w:noProof/>
                <w:webHidden/>
              </w:rPr>
              <w:instrText xml:space="preserve"> PAGEREF _Toc239441006 \h </w:instrText>
            </w:r>
            <w:r>
              <w:rPr>
                <w:noProof/>
                <w:webHidden/>
              </w:rPr>
            </w:r>
            <w:r>
              <w:rPr>
                <w:noProof/>
                <w:webHidden/>
              </w:rPr>
              <w:fldChar w:fldCharType="separate"/>
            </w:r>
            <w:r>
              <w:rPr>
                <w:noProof/>
                <w:webHidden/>
              </w:rPr>
              <w:t>161</w:t>
            </w:r>
            <w:r>
              <w:rPr>
                <w:noProof/>
                <w:webHidden/>
              </w:rPr>
              <w:fldChar w:fldCharType="end"/>
            </w:r>
          </w:hyperlink>
        </w:p>
        <w:p w14:paraId="3A966A76" w14:textId="3DC733E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7" w:history="1">
            <w:r w:rsidRPr="00384636">
              <w:rPr>
                <w:rStyle w:val="Hipervnculo"/>
                <w:noProof/>
                <w:lang w:val="es-MX"/>
              </w:rPr>
              <w:t>7.1.3.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Ciclo de vida y gobernanza de datos</w:t>
            </w:r>
            <w:r>
              <w:rPr>
                <w:noProof/>
                <w:webHidden/>
              </w:rPr>
              <w:tab/>
            </w:r>
            <w:r>
              <w:rPr>
                <w:noProof/>
                <w:webHidden/>
              </w:rPr>
              <w:fldChar w:fldCharType="begin"/>
            </w:r>
            <w:r>
              <w:rPr>
                <w:noProof/>
                <w:webHidden/>
              </w:rPr>
              <w:instrText xml:space="preserve"> PAGEREF _Toc239441007 \h </w:instrText>
            </w:r>
            <w:r>
              <w:rPr>
                <w:noProof/>
                <w:webHidden/>
              </w:rPr>
            </w:r>
            <w:r>
              <w:rPr>
                <w:noProof/>
                <w:webHidden/>
              </w:rPr>
              <w:fldChar w:fldCharType="separate"/>
            </w:r>
            <w:r>
              <w:rPr>
                <w:noProof/>
                <w:webHidden/>
              </w:rPr>
              <w:t>162</w:t>
            </w:r>
            <w:r>
              <w:rPr>
                <w:noProof/>
                <w:webHidden/>
              </w:rPr>
              <w:fldChar w:fldCharType="end"/>
            </w:r>
          </w:hyperlink>
        </w:p>
        <w:p w14:paraId="377EF128" w14:textId="0B0AE21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8" w:history="1">
            <w:r w:rsidRPr="00384636">
              <w:rPr>
                <w:rStyle w:val="Hipervnculo"/>
                <w:noProof/>
                <w:lang w:val="es-MX"/>
              </w:rPr>
              <w:t>7.1.4.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Contratación, dependencia y supervisión humana</w:t>
            </w:r>
            <w:r>
              <w:rPr>
                <w:noProof/>
                <w:webHidden/>
              </w:rPr>
              <w:tab/>
            </w:r>
            <w:r>
              <w:rPr>
                <w:noProof/>
                <w:webHidden/>
              </w:rPr>
              <w:fldChar w:fldCharType="begin"/>
            </w:r>
            <w:r>
              <w:rPr>
                <w:noProof/>
                <w:webHidden/>
              </w:rPr>
              <w:instrText xml:space="preserve"> PAGEREF _Toc239441008 \h </w:instrText>
            </w:r>
            <w:r>
              <w:rPr>
                <w:noProof/>
                <w:webHidden/>
              </w:rPr>
            </w:r>
            <w:r>
              <w:rPr>
                <w:noProof/>
                <w:webHidden/>
              </w:rPr>
              <w:fldChar w:fldCharType="separate"/>
            </w:r>
            <w:r>
              <w:rPr>
                <w:noProof/>
                <w:webHidden/>
              </w:rPr>
              <w:t>163</w:t>
            </w:r>
            <w:r>
              <w:rPr>
                <w:noProof/>
                <w:webHidden/>
              </w:rPr>
              <w:fldChar w:fldCharType="end"/>
            </w:r>
          </w:hyperlink>
        </w:p>
        <w:p w14:paraId="1BF65F87" w14:textId="22B21C52"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09" w:history="1">
            <w:r w:rsidRPr="00384636">
              <w:rPr>
                <w:rStyle w:val="Hipervnculo"/>
                <w:noProof/>
                <w:lang w:val="es-MX"/>
              </w:rPr>
              <w:t>7.1.5.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Participación, incidentes, auditoría y aprendizaje</w:t>
            </w:r>
            <w:r>
              <w:rPr>
                <w:noProof/>
                <w:webHidden/>
              </w:rPr>
              <w:tab/>
            </w:r>
            <w:r>
              <w:rPr>
                <w:noProof/>
                <w:webHidden/>
              </w:rPr>
              <w:fldChar w:fldCharType="begin"/>
            </w:r>
            <w:r>
              <w:rPr>
                <w:noProof/>
                <w:webHidden/>
              </w:rPr>
              <w:instrText xml:space="preserve"> PAGEREF _Toc239441009 \h </w:instrText>
            </w:r>
            <w:r>
              <w:rPr>
                <w:noProof/>
                <w:webHidden/>
              </w:rPr>
            </w:r>
            <w:r>
              <w:rPr>
                <w:noProof/>
                <w:webHidden/>
              </w:rPr>
              <w:fldChar w:fldCharType="separate"/>
            </w:r>
            <w:r>
              <w:rPr>
                <w:noProof/>
                <w:webHidden/>
              </w:rPr>
              <w:t>164</w:t>
            </w:r>
            <w:r>
              <w:rPr>
                <w:noProof/>
                <w:webHidden/>
              </w:rPr>
              <w:fldChar w:fldCharType="end"/>
            </w:r>
          </w:hyperlink>
        </w:p>
        <w:p w14:paraId="55BB8945" w14:textId="4981E445"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0" w:history="1">
            <w:r w:rsidRPr="00384636">
              <w:rPr>
                <w:rStyle w:val="Hipervnculo"/>
                <w:noProof/>
                <w:lang w:val="es-MX"/>
              </w:rPr>
              <w:t>7.2.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Formación docente y liderazgo</w:t>
            </w:r>
            <w:r>
              <w:rPr>
                <w:noProof/>
                <w:webHidden/>
              </w:rPr>
              <w:tab/>
            </w:r>
            <w:r>
              <w:rPr>
                <w:noProof/>
                <w:webHidden/>
              </w:rPr>
              <w:fldChar w:fldCharType="begin"/>
            </w:r>
            <w:r>
              <w:rPr>
                <w:noProof/>
                <w:webHidden/>
              </w:rPr>
              <w:instrText xml:space="preserve"> PAGEREF _Toc239441010 \h </w:instrText>
            </w:r>
            <w:r>
              <w:rPr>
                <w:noProof/>
                <w:webHidden/>
              </w:rPr>
            </w:r>
            <w:r>
              <w:rPr>
                <w:noProof/>
                <w:webHidden/>
              </w:rPr>
              <w:fldChar w:fldCharType="separate"/>
            </w:r>
            <w:r>
              <w:rPr>
                <w:noProof/>
                <w:webHidden/>
              </w:rPr>
              <w:t>166</w:t>
            </w:r>
            <w:r>
              <w:rPr>
                <w:noProof/>
                <w:webHidden/>
              </w:rPr>
              <w:fldChar w:fldCharType="end"/>
            </w:r>
          </w:hyperlink>
        </w:p>
        <w:p w14:paraId="168E03FF" w14:textId="1E67AEC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1" w:history="1">
            <w:r w:rsidRPr="00384636">
              <w:rPr>
                <w:rStyle w:val="Hipervnculo"/>
                <w:noProof/>
                <w:lang w:val="es-MX"/>
              </w:rPr>
              <w:t>7.2.1.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Competencia profesional y rutas formativas por función</w:t>
            </w:r>
            <w:r>
              <w:rPr>
                <w:noProof/>
                <w:webHidden/>
              </w:rPr>
              <w:tab/>
            </w:r>
            <w:r>
              <w:rPr>
                <w:noProof/>
                <w:webHidden/>
              </w:rPr>
              <w:fldChar w:fldCharType="begin"/>
            </w:r>
            <w:r>
              <w:rPr>
                <w:noProof/>
                <w:webHidden/>
              </w:rPr>
              <w:instrText xml:space="preserve"> PAGEREF _Toc239441011 \h </w:instrText>
            </w:r>
            <w:r>
              <w:rPr>
                <w:noProof/>
                <w:webHidden/>
              </w:rPr>
            </w:r>
            <w:r>
              <w:rPr>
                <w:noProof/>
                <w:webHidden/>
              </w:rPr>
              <w:fldChar w:fldCharType="separate"/>
            </w:r>
            <w:r>
              <w:rPr>
                <w:noProof/>
                <w:webHidden/>
              </w:rPr>
              <w:t>166</w:t>
            </w:r>
            <w:r>
              <w:rPr>
                <w:noProof/>
                <w:webHidden/>
              </w:rPr>
              <w:fldChar w:fldCharType="end"/>
            </w:r>
          </w:hyperlink>
        </w:p>
        <w:p w14:paraId="613BFEA3" w14:textId="256F5EB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2" w:history="1">
            <w:r w:rsidRPr="00384636">
              <w:rPr>
                <w:rStyle w:val="Hipervnculo"/>
                <w:noProof/>
                <w:lang w:val="es-MX"/>
              </w:rPr>
              <w:t>7.2.2.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Aprendizaje situado y comunidades de práctica</w:t>
            </w:r>
            <w:r>
              <w:rPr>
                <w:noProof/>
                <w:webHidden/>
              </w:rPr>
              <w:tab/>
            </w:r>
            <w:r>
              <w:rPr>
                <w:noProof/>
                <w:webHidden/>
              </w:rPr>
              <w:fldChar w:fldCharType="begin"/>
            </w:r>
            <w:r>
              <w:rPr>
                <w:noProof/>
                <w:webHidden/>
              </w:rPr>
              <w:instrText xml:space="preserve"> PAGEREF _Toc239441012 \h </w:instrText>
            </w:r>
            <w:r>
              <w:rPr>
                <w:noProof/>
                <w:webHidden/>
              </w:rPr>
            </w:r>
            <w:r>
              <w:rPr>
                <w:noProof/>
                <w:webHidden/>
              </w:rPr>
              <w:fldChar w:fldCharType="separate"/>
            </w:r>
            <w:r>
              <w:rPr>
                <w:noProof/>
                <w:webHidden/>
              </w:rPr>
              <w:t>167</w:t>
            </w:r>
            <w:r>
              <w:rPr>
                <w:noProof/>
                <w:webHidden/>
              </w:rPr>
              <w:fldChar w:fldCharType="end"/>
            </w:r>
          </w:hyperlink>
        </w:p>
        <w:p w14:paraId="55A4AB79" w14:textId="2E40C224"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3" w:history="1">
            <w:r w:rsidRPr="00384636">
              <w:rPr>
                <w:rStyle w:val="Hipervnculo"/>
                <w:noProof/>
                <w:lang w:val="es-MX"/>
              </w:rPr>
              <w:t>7.2.3.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Tiempo, incentivos y liderazgo con criterio académico</w:t>
            </w:r>
            <w:r>
              <w:rPr>
                <w:noProof/>
                <w:webHidden/>
              </w:rPr>
              <w:tab/>
            </w:r>
            <w:r>
              <w:rPr>
                <w:noProof/>
                <w:webHidden/>
              </w:rPr>
              <w:fldChar w:fldCharType="begin"/>
            </w:r>
            <w:r>
              <w:rPr>
                <w:noProof/>
                <w:webHidden/>
              </w:rPr>
              <w:instrText xml:space="preserve"> PAGEREF _Toc239441013 \h </w:instrText>
            </w:r>
            <w:r>
              <w:rPr>
                <w:noProof/>
                <w:webHidden/>
              </w:rPr>
            </w:r>
            <w:r>
              <w:rPr>
                <w:noProof/>
                <w:webHidden/>
              </w:rPr>
              <w:fldChar w:fldCharType="separate"/>
            </w:r>
            <w:r>
              <w:rPr>
                <w:noProof/>
                <w:webHidden/>
              </w:rPr>
              <w:t>168</w:t>
            </w:r>
            <w:r>
              <w:rPr>
                <w:noProof/>
                <w:webHidden/>
              </w:rPr>
              <w:fldChar w:fldCharType="end"/>
            </w:r>
          </w:hyperlink>
        </w:p>
        <w:p w14:paraId="29532F41" w14:textId="00DB064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4" w:history="1">
            <w:r w:rsidRPr="00384636">
              <w:rPr>
                <w:rStyle w:val="Hipervnculo"/>
                <w:noProof/>
                <w:lang w:val="es-MX"/>
              </w:rPr>
              <w:t>7.2.4.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Evaluación auténtica y alfabetización estudiantil</w:t>
            </w:r>
            <w:r>
              <w:rPr>
                <w:noProof/>
                <w:webHidden/>
              </w:rPr>
              <w:tab/>
            </w:r>
            <w:r>
              <w:rPr>
                <w:noProof/>
                <w:webHidden/>
              </w:rPr>
              <w:fldChar w:fldCharType="begin"/>
            </w:r>
            <w:r>
              <w:rPr>
                <w:noProof/>
                <w:webHidden/>
              </w:rPr>
              <w:instrText xml:space="preserve"> PAGEREF _Toc239441014 \h </w:instrText>
            </w:r>
            <w:r>
              <w:rPr>
                <w:noProof/>
                <w:webHidden/>
              </w:rPr>
            </w:r>
            <w:r>
              <w:rPr>
                <w:noProof/>
                <w:webHidden/>
              </w:rPr>
              <w:fldChar w:fldCharType="separate"/>
            </w:r>
            <w:r>
              <w:rPr>
                <w:noProof/>
                <w:webHidden/>
              </w:rPr>
              <w:t>169</w:t>
            </w:r>
            <w:r>
              <w:rPr>
                <w:noProof/>
                <w:webHidden/>
              </w:rPr>
              <w:fldChar w:fldCharType="end"/>
            </w:r>
          </w:hyperlink>
        </w:p>
        <w:p w14:paraId="77489279" w14:textId="597335CB"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5" w:history="1">
            <w:r w:rsidRPr="00384636">
              <w:rPr>
                <w:rStyle w:val="Hipervnculo"/>
                <w:noProof/>
                <w:lang w:val="es-MX"/>
              </w:rPr>
              <w:t>7.2.5.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Unidades de apoyo, evaluación y gestión del cambio</w:t>
            </w:r>
            <w:r>
              <w:rPr>
                <w:noProof/>
                <w:webHidden/>
              </w:rPr>
              <w:tab/>
            </w:r>
            <w:r>
              <w:rPr>
                <w:noProof/>
                <w:webHidden/>
              </w:rPr>
              <w:fldChar w:fldCharType="begin"/>
            </w:r>
            <w:r>
              <w:rPr>
                <w:noProof/>
                <w:webHidden/>
              </w:rPr>
              <w:instrText xml:space="preserve"> PAGEREF _Toc239441015 \h </w:instrText>
            </w:r>
            <w:r>
              <w:rPr>
                <w:noProof/>
                <w:webHidden/>
              </w:rPr>
            </w:r>
            <w:r>
              <w:rPr>
                <w:noProof/>
                <w:webHidden/>
              </w:rPr>
              <w:fldChar w:fldCharType="separate"/>
            </w:r>
            <w:r>
              <w:rPr>
                <w:noProof/>
                <w:webHidden/>
              </w:rPr>
              <w:t>170</w:t>
            </w:r>
            <w:r>
              <w:rPr>
                <w:noProof/>
                <w:webHidden/>
              </w:rPr>
              <w:fldChar w:fldCharType="end"/>
            </w:r>
          </w:hyperlink>
        </w:p>
        <w:p w14:paraId="36281F33" w14:textId="3CD12198"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6" w:history="1">
            <w:r w:rsidRPr="00384636">
              <w:rPr>
                <w:rStyle w:val="Hipervnculo"/>
                <w:noProof/>
                <w:lang w:val="es-MX"/>
              </w:rPr>
              <w:t>7.3.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Marcos de uso responsable</w:t>
            </w:r>
            <w:r>
              <w:rPr>
                <w:noProof/>
                <w:webHidden/>
              </w:rPr>
              <w:tab/>
            </w:r>
            <w:r>
              <w:rPr>
                <w:noProof/>
                <w:webHidden/>
              </w:rPr>
              <w:fldChar w:fldCharType="begin"/>
            </w:r>
            <w:r>
              <w:rPr>
                <w:noProof/>
                <w:webHidden/>
              </w:rPr>
              <w:instrText xml:space="preserve"> PAGEREF _Toc239441016 \h </w:instrText>
            </w:r>
            <w:r>
              <w:rPr>
                <w:noProof/>
                <w:webHidden/>
              </w:rPr>
            </w:r>
            <w:r>
              <w:rPr>
                <w:noProof/>
                <w:webHidden/>
              </w:rPr>
              <w:fldChar w:fldCharType="separate"/>
            </w:r>
            <w:r>
              <w:rPr>
                <w:noProof/>
                <w:webHidden/>
              </w:rPr>
              <w:t>172</w:t>
            </w:r>
            <w:r>
              <w:rPr>
                <w:noProof/>
                <w:webHidden/>
              </w:rPr>
              <w:fldChar w:fldCharType="end"/>
            </w:r>
          </w:hyperlink>
        </w:p>
        <w:p w14:paraId="3C41A917" w14:textId="0309930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7" w:history="1">
            <w:r w:rsidRPr="00384636">
              <w:rPr>
                <w:rStyle w:val="Hipervnculo"/>
                <w:noProof/>
                <w:lang w:val="es-MX"/>
              </w:rPr>
              <w:t>7.3.1.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Política orientadora, revisable y basada en categorías</w:t>
            </w:r>
            <w:r>
              <w:rPr>
                <w:noProof/>
                <w:webHidden/>
              </w:rPr>
              <w:tab/>
            </w:r>
            <w:r>
              <w:rPr>
                <w:noProof/>
                <w:webHidden/>
              </w:rPr>
              <w:fldChar w:fldCharType="begin"/>
            </w:r>
            <w:r>
              <w:rPr>
                <w:noProof/>
                <w:webHidden/>
              </w:rPr>
              <w:instrText xml:space="preserve"> PAGEREF _Toc239441017 \h </w:instrText>
            </w:r>
            <w:r>
              <w:rPr>
                <w:noProof/>
                <w:webHidden/>
              </w:rPr>
            </w:r>
            <w:r>
              <w:rPr>
                <w:noProof/>
                <w:webHidden/>
              </w:rPr>
              <w:fldChar w:fldCharType="separate"/>
            </w:r>
            <w:r>
              <w:rPr>
                <w:noProof/>
                <w:webHidden/>
              </w:rPr>
              <w:t>172</w:t>
            </w:r>
            <w:r>
              <w:rPr>
                <w:noProof/>
                <w:webHidden/>
              </w:rPr>
              <w:fldChar w:fldCharType="end"/>
            </w:r>
          </w:hyperlink>
        </w:p>
        <w:p w14:paraId="3E00AEB9" w14:textId="49AF5E19"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8" w:history="1">
            <w:r w:rsidRPr="00384636">
              <w:rPr>
                <w:rStyle w:val="Hipervnculo"/>
                <w:noProof/>
                <w:lang w:val="es-MX"/>
              </w:rPr>
              <w:t>7.3.2.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Transparencia, integridad, autoría y contribución humana</w:t>
            </w:r>
            <w:r>
              <w:rPr>
                <w:noProof/>
                <w:webHidden/>
              </w:rPr>
              <w:tab/>
            </w:r>
            <w:r>
              <w:rPr>
                <w:noProof/>
                <w:webHidden/>
              </w:rPr>
              <w:fldChar w:fldCharType="begin"/>
            </w:r>
            <w:r>
              <w:rPr>
                <w:noProof/>
                <w:webHidden/>
              </w:rPr>
              <w:instrText xml:space="preserve"> PAGEREF _Toc239441018 \h </w:instrText>
            </w:r>
            <w:r>
              <w:rPr>
                <w:noProof/>
                <w:webHidden/>
              </w:rPr>
            </w:r>
            <w:r>
              <w:rPr>
                <w:noProof/>
                <w:webHidden/>
              </w:rPr>
              <w:fldChar w:fldCharType="separate"/>
            </w:r>
            <w:r>
              <w:rPr>
                <w:noProof/>
                <w:webHidden/>
              </w:rPr>
              <w:t>173</w:t>
            </w:r>
            <w:r>
              <w:rPr>
                <w:noProof/>
                <w:webHidden/>
              </w:rPr>
              <w:fldChar w:fldCharType="end"/>
            </w:r>
          </w:hyperlink>
        </w:p>
        <w:p w14:paraId="3B3BC11B" w14:textId="5C37516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19" w:history="1">
            <w:r w:rsidRPr="00384636">
              <w:rPr>
                <w:rStyle w:val="Hipervnculo"/>
                <w:noProof/>
                <w:lang w:val="es-MX"/>
              </w:rPr>
              <w:t>7.3.3.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Privacidad, propiedad intelectual, equidad y accesibilidad</w:t>
            </w:r>
            <w:r>
              <w:rPr>
                <w:noProof/>
                <w:webHidden/>
              </w:rPr>
              <w:tab/>
            </w:r>
            <w:r>
              <w:rPr>
                <w:noProof/>
                <w:webHidden/>
              </w:rPr>
              <w:fldChar w:fldCharType="begin"/>
            </w:r>
            <w:r>
              <w:rPr>
                <w:noProof/>
                <w:webHidden/>
              </w:rPr>
              <w:instrText xml:space="preserve"> PAGEREF _Toc239441019 \h </w:instrText>
            </w:r>
            <w:r>
              <w:rPr>
                <w:noProof/>
                <w:webHidden/>
              </w:rPr>
            </w:r>
            <w:r>
              <w:rPr>
                <w:noProof/>
                <w:webHidden/>
              </w:rPr>
              <w:fldChar w:fldCharType="separate"/>
            </w:r>
            <w:r>
              <w:rPr>
                <w:noProof/>
                <w:webHidden/>
              </w:rPr>
              <w:t>174</w:t>
            </w:r>
            <w:r>
              <w:rPr>
                <w:noProof/>
                <w:webHidden/>
              </w:rPr>
              <w:fldChar w:fldCharType="end"/>
            </w:r>
          </w:hyperlink>
        </w:p>
        <w:p w14:paraId="7E6BF0BC" w14:textId="4CB80C7F"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0" w:history="1">
            <w:r w:rsidRPr="00384636">
              <w:rPr>
                <w:rStyle w:val="Hipervnculo"/>
                <w:noProof/>
                <w:lang w:val="es-MX"/>
              </w:rPr>
              <w:t>7.3.4.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Decisiones de alto impacto, seguridad y robustez</w:t>
            </w:r>
            <w:r>
              <w:rPr>
                <w:noProof/>
                <w:webHidden/>
              </w:rPr>
              <w:tab/>
            </w:r>
            <w:r>
              <w:rPr>
                <w:noProof/>
                <w:webHidden/>
              </w:rPr>
              <w:fldChar w:fldCharType="begin"/>
            </w:r>
            <w:r>
              <w:rPr>
                <w:noProof/>
                <w:webHidden/>
              </w:rPr>
              <w:instrText xml:space="preserve"> PAGEREF _Toc239441020 \h </w:instrText>
            </w:r>
            <w:r>
              <w:rPr>
                <w:noProof/>
                <w:webHidden/>
              </w:rPr>
            </w:r>
            <w:r>
              <w:rPr>
                <w:noProof/>
                <w:webHidden/>
              </w:rPr>
              <w:fldChar w:fldCharType="separate"/>
            </w:r>
            <w:r>
              <w:rPr>
                <w:noProof/>
                <w:webHidden/>
              </w:rPr>
              <w:t>175</w:t>
            </w:r>
            <w:r>
              <w:rPr>
                <w:noProof/>
                <w:webHidden/>
              </w:rPr>
              <w:fldChar w:fldCharType="end"/>
            </w:r>
          </w:hyperlink>
        </w:p>
        <w:p w14:paraId="0DFF6AE4" w14:textId="41511F9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1" w:history="1">
            <w:r w:rsidRPr="00384636">
              <w:rPr>
                <w:rStyle w:val="Hipervnculo"/>
                <w:noProof/>
                <w:lang w:val="es-MX"/>
              </w:rPr>
              <w:t>7.3.5.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Sostenibilidad, explicación, recurso y armonización normativa</w:t>
            </w:r>
            <w:r>
              <w:rPr>
                <w:noProof/>
                <w:webHidden/>
              </w:rPr>
              <w:tab/>
            </w:r>
            <w:r>
              <w:rPr>
                <w:noProof/>
                <w:webHidden/>
              </w:rPr>
              <w:fldChar w:fldCharType="begin"/>
            </w:r>
            <w:r>
              <w:rPr>
                <w:noProof/>
                <w:webHidden/>
              </w:rPr>
              <w:instrText xml:space="preserve"> PAGEREF _Toc239441021 \h </w:instrText>
            </w:r>
            <w:r>
              <w:rPr>
                <w:noProof/>
                <w:webHidden/>
              </w:rPr>
            </w:r>
            <w:r>
              <w:rPr>
                <w:noProof/>
                <w:webHidden/>
              </w:rPr>
              <w:fldChar w:fldCharType="separate"/>
            </w:r>
            <w:r>
              <w:rPr>
                <w:noProof/>
                <w:webHidden/>
              </w:rPr>
              <w:t>176</w:t>
            </w:r>
            <w:r>
              <w:rPr>
                <w:noProof/>
                <w:webHidden/>
              </w:rPr>
              <w:fldChar w:fldCharType="end"/>
            </w:r>
          </w:hyperlink>
        </w:p>
        <w:p w14:paraId="1AB4536B" w14:textId="06FD9B63" w:rsidR="007A71E1" w:rsidRDefault="007A71E1">
          <w:pPr>
            <w:pStyle w:val="TDC2"/>
            <w:tabs>
              <w:tab w:val="left" w:pos="96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2" w:history="1">
            <w:r w:rsidRPr="00384636">
              <w:rPr>
                <w:rStyle w:val="Hipervnculo"/>
                <w:noProof/>
                <w:lang w:val="es-MX"/>
              </w:rPr>
              <w:t>7.4.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Escenarios futuros para la universidad</w:t>
            </w:r>
            <w:r>
              <w:rPr>
                <w:noProof/>
                <w:webHidden/>
              </w:rPr>
              <w:tab/>
            </w:r>
            <w:r>
              <w:rPr>
                <w:noProof/>
                <w:webHidden/>
              </w:rPr>
              <w:fldChar w:fldCharType="begin"/>
            </w:r>
            <w:r>
              <w:rPr>
                <w:noProof/>
                <w:webHidden/>
              </w:rPr>
              <w:instrText xml:space="preserve"> PAGEREF _Toc239441022 \h </w:instrText>
            </w:r>
            <w:r>
              <w:rPr>
                <w:noProof/>
                <w:webHidden/>
              </w:rPr>
            </w:r>
            <w:r>
              <w:rPr>
                <w:noProof/>
                <w:webHidden/>
              </w:rPr>
              <w:fldChar w:fldCharType="separate"/>
            </w:r>
            <w:r>
              <w:rPr>
                <w:noProof/>
                <w:webHidden/>
              </w:rPr>
              <w:t>177</w:t>
            </w:r>
            <w:r>
              <w:rPr>
                <w:noProof/>
                <w:webHidden/>
              </w:rPr>
              <w:fldChar w:fldCharType="end"/>
            </w:r>
          </w:hyperlink>
        </w:p>
        <w:p w14:paraId="12F0F841" w14:textId="65EE70A5"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3" w:history="1">
            <w:r w:rsidRPr="00384636">
              <w:rPr>
                <w:rStyle w:val="Hipervnculo"/>
                <w:noProof/>
                <w:lang w:val="es-MX"/>
              </w:rPr>
              <w:t>7.4.1.</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Construcción de escenarios y universidad aumentada</w:t>
            </w:r>
            <w:r>
              <w:rPr>
                <w:noProof/>
                <w:webHidden/>
              </w:rPr>
              <w:tab/>
            </w:r>
            <w:r>
              <w:rPr>
                <w:noProof/>
                <w:webHidden/>
              </w:rPr>
              <w:fldChar w:fldCharType="begin"/>
            </w:r>
            <w:r>
              <w:rPr>
                <w:noProof/>
                <w:webHidden/>
              </w:rPr>
              <w:instrText xml:space="preserve"> PAGEREF _Toc239441023 \h </w:instrText>
            </w:r>
            <w:r>
              <w:rPr>
                <w:noProof/>
                <w:webHidden/>
              </w:rPr>
            </w:r>
            <w:r>
              <w:rPr>
                <w:noProof/>
                <w:webHidden/>
              </w:rPr>
              <w:fldChar w:fldCharType="separate"/>
            </w:r>
            <w:r>
              <w:rPr>
                <w:noProof/>
                <w:webHidden/>
              </w:rPr>
              <w:t>177</w:t>
            </w:r>
            <w:r>
              <w:rPr>
                <w:noProof/>
                <w:webHidden/>
              </w:rPr>
              <w:fldChar w:fldCharType="end"/>
            </w:r>
          </w:hyperlink>
        </w:p>
        <w:p w14:paraId="41709AEC" w14:textId="317CC84C"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4" w:history="1">
            <w:r w:rsidRPr="00384636">
              <w:rPr>
                <w:rStyle w:val="Hipervnculo"/>
                <w:noProof/>
                <w:lang w:val="es-MX"/>
              </w:rPr>
              <w:t>7.4.2.</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Currículos adaptativos, aprendizaje híbrido y presencia</w:t>
            </w:r>
            <w:r>
              <w:rPr>
                <w:noProof/>
                <w:webHidden/>
              </w:rPr>
              <w:tab/>
            </w:r>
            <w:r>
              <w:rPr>
                <w:noProof/>
                <w:webHidden/>
              </w:rPr>
              <w:fldChar w:fldCharType="begin"/>
            </w:r>
            <w:r>
              <w:rPr>
                <w:noProof/>
                <w:webHidden/>
              </w:rPr>
              <w:instrText xml:space="preserve"> PAGEREF _Toc239441024 \h </w:instrText>
            </w:r>
            <w:r>
              <w:rPr>
                <w:noProof/>
                <w:webHidden/>
              </w:rPr>
            </w:r>
            <w:r>
              <w:rPr>
                <w:noProof/>
                <w:webHidden/>
              </w:rPr>
              <w:fldChar w:fldCharType="separate"/>
            </w:r>
            <w:r>
              <w:rPr>
                <w:noProof/>
                <w:webHidden/>
              </w:rPr>
              <w:t>178</w:t>
            </w:r>
            <w:r>
              <w:rPr>
                <w:noProof/>
                <w:webHidden/>
              </w:rPr>
              <w:fldChar w:fldCharType="end"/>
            </w:r>
          </w:hyperlink>
        </w:p>
        <w:p w14:paraId="17F42A40" w14:textId="3C64F7ED"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5" w:history="1">
            <w:r w:rsidRPr="00384636">
              <w:rPr>
                <w:rStyle w:val="Hipervnculo"/>
                <w:noProof/>
                <w:lang w:val="es-MX"/>
              </w:rPr>
              <w:t>7.4.3.</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Investigación asistida y administración anticipatoria</w:t>
            </w:r>
            <w:r>
              <w:rPr>
                <w:noProof/>
                <w:webHidden/>
              </w:rPr>
              <w:tab/>
            </w:r>
            <w:r>
              <w:rPr>
                <w:noProof/>
                <w:webHidden/>
              </w:rPr>
              <w:fldChar w:fldCharType="begin"/>
            </w:r>
            <w:r>
              <w:rPr>
                <w:noProof/>
                <w:webHidden/>
              </w:rPr>
              <w:instrText xml:space="preserve"> PAGEREF _Toc239441025 \h </w:instrText>
            </w:r>
            <w:r>
              <w:rPr>
                <w:noProof/>
                <w:webHidden/>
              </w:rPr>
            </w:r>
            <w:r>
              <w:rPr>
                <w:noProof/>
                <w:webHidden/>
              </w:rPr>
              <w:fldChar w:fldCharType="separate"/>
            </w:r>
            <w:r>
              <w:rPr>
                <w:noProof/>
                <w:webHidden/>
              </w:rPr>
              <w:t>179</w:t>
            </w:r>
            <w:r>
              <w:rPr>
                <w:noProof/>
                <w:webHidden/>
              </w:rPr>
              <w:fldChar w:fldCharType="end"/>
            </w:r>
          </w:hyperlink>
        </w:p>
        <w:p w14:paraId="0D059CEA" w14:textId="690ED6E6"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6" w:history="1">
            <w:r w:rsidRPr="00384636">
              <w:rPr>
                <w:rStyle w:val="Hipervnculo"/>
                <w:noProof/>
                <w:lang w:val="es-MX"/>
              </w:rPr>
              <w:t>7.4.4.</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Trabajo académico, misión pública y soberanía tecnológica</w:t>
            </w:r>
            <w:r>
              <w:rPr>
                <w:noProof/>
                <w:webHidden/>
              </w:rPr>
              <w:tab/>
            </w:r>
            <w:r>
              <w:rPr>
                <w:noProof/>
                <w:webHidden/>
              </w:rPr>
              <w:fldChar w:fldCharType="begin"/>
            </w:r>
            <w:r>
              <w:rPr>
                <w:noProof/>
                <w:webHidden/>
              </w:rPr>
              <w:instrText xml:space="preserve"> PAGEREF _Toc239441026 \h </w:instrText>
            </w:r>
            <w:r>
              <w:rPr>
                <w:noProof/>
                <w:webHidden/>
              </w:rPr>
            </w:r>
            <w:r>
              <w:rPr>
                <w:noProof/>
                <w:webHidden/>
              </w:rPr>
              <w:fldChar w:fldCharType="separate"/>
            </w:r>
            <w:r>
              <w:rPr>
                <w:noProof/>
                <w:webHidden/>
              </w:rPr>
              <w:t>180</w:t>
            </w:r>
            <w:r>
              <w:rPr>
                <w:noProof/>
                <w:webHidden/>
              </w:rPr>
              <w:fldChar w:fldCharType="end"/>
            </w:r>
          </w:hyperlink>
        </w:p>
        <w:p w14:paraId="2B61714F" w14:textId="201557E7" w:rsidR="007A71E1" w:rsidRDefault="007A71E1">
          <w:pPr>
            <w:pStyle w:val="TDC3"/>
            <w:tabs>
              <w:tab w:val="left" w:pos="1200"/>
              <w:tab w:val="right" w:leader="dot" w:pos="8494"/>
            </w:tabs>
            <w:rPr>
              <w:rFonts w:asciiTheme="minorHAnsi" w:eastAsiaTheme="minorEastAsia" w:hAnsiTheme="minorHAnsi" w:cstheme="minorBidi"/>
              <w:noProof/>
              <w:color w:val="auto"/>
              <w:kern w:val="2"/>
              <w:sz w:val="24"/>
              <w:szCs w:val="24"/>
              <w:lang w:val="es-MX" w:eastAsia="es-MX"/>
              <w14:ligatures w14:val="standardContextual"/>
            </w:rPr>
          </w:pPr>
          <w:hyperlink w:anchor="_Toc239441027" w:history="1">
            <w:r w:rsidRPr="00384636">
              <w:rPr>
                <w:rStyle w:val="Hipervnculo"/>
                <w:noProof/>
                <w:lang w:val="es-MX"/>
              </w:rPr>
              <w:t>7.4.5.</w:t>
            </w:r>
            <w:r>
              <w:rPr>
                <w:rFonts w:asciiTheme="minorHAnsi" w:eastAsiaTheme="minorEastAsia" w:hAnsiTheme="minorHAnsi" w:cstheme="minorBidi"/>
                <w:noProof/>
                <w:color w:val="auto"/>
                <w:kern w:val="2"/>
                <w:sz w:val="24"/>
                <w:szCs w:val="24"/>
                <w:lang w:val="es-MX" w:eastAsia="es-MX"/>
                <w14:ligatures w14:val="standardContextual"/>
              </w:rPr>
              <w:tab/>
            </w:r>
            <w:r w:rsidRPr="00384636">
              <w:rPr>
                <w:rStyle w:val="Hipervnculo"/>
                <w:noProof/>
                <w:lang w:val="es-MX"/>
              </w:rPr>
              <w:t>Interoperabilidad, futuros plurales y hoja de ruta adaptable</w:t>
            </w:r>
            <w:r>
              <w:rPr>
                <w:noProof/>
                <w:webHidden/>
              </w:rPr>
              <w:tab/>
            </w:r>
            <w:r>
              <w:rPr>
                <w:noProof/>
                <w:webHidden/>
              </w:rPr>
              <w:fldChar w:fldCharType="begin"/>
            </w:r>
            <w:r>
              <w:rPr>
                <w:noProof/>
                <w:webHidden/>
              </w:rPr>
              <w:instrText xml:space="preserve"> PAGEREF _Toc239441027 \h </w:instrText>
            </w:r>
            <w:r>
              <w:rPr>
                <w:noProof/>
                <w:webHidden/>
              </w:rPr>
            </w:r>
            <w:r>
              <w:rPr>
                <w:noProof/>
                <w:webHidden/>
              </w:rPr>
              <w:fldChar w:fldCharType="separate"/>
            </w:r>
            <w:r>
              <w:rPr>
                <w:noProof/>
                <w:webHidden/>
              </w:rPr>
              <w:t>181</w:t>
            </w:r>
            <w:r>
              <w:rPr>
                <w:noProof/>
                <w:webHidden/>
              </w:rPr>
              <w:fldChar w:fldCharType="end"/>
            </w:r>
          </w:hyperlink>
        </w:p>
        <w:p w14:paraId="647DA199" w14:textId="5444B54C" w:rsidR="00DB1B3F" w:rsidRDefault="00DB1B3F">
          <w:r>
            <w:rPr>
              <w:b/>
              <w:bCs/>
            </w:rPr>
            <w:fldChar w:fldCharType="end"/>
          </w:r>
        </w:p>
      </w:sdtContent>
    </w:sdt>
    <w:p w14:paraId="70121801" w14:textId="77777777" w:rsidR="00DB1B3F" w:rsidRDefault="00DB1B3F">
      <w:pPr>
        <w:spacing w:before="0" w:after="160" w:line="278" w:lineRule="auto"/>
        <w:jc w:val="left"/>
        <w:rPr>
          <w:b/>
          <w:bCs/>
          <w:sz w:val="28"/>
          <w:szCs w:val="28"/>
          <w:lang w:val="es-MX"/>
        </w:rPr>
      </w:pPr>
      <w:r>
        <w:rPr>
          <w:b/>
          <w:bCs/>
          <w:sz w:val="28"/>
          <w:szCs w:val="28"/>
          <w:lang w:val="es-MX"/>
        </w:rPr>
        <w:br w:type="page"/>
      </w:r>
    </w:p>
    <w:p w14:paraId="0AEC30D4" w14:textId="70FB344B" w:rsidR="00F77ACD" w:rsidRPr="008F1375" w:rsidRDefault="00F77ACD" w:rsidP="008F1375">
      <w:pPr>
        <w:jc w:val="center"/>
        <w:rPr>
          <w:b/>
          <w:bCs/>
          <w:sz w:val="28"/>
          <w:szCs w:val="28"/>
          <w:lang w:val="es-MX"/>
        </w:rPr>
      </w:pPr>
      <w:r w:rsidRPr="008F1375">
        <w:rPr>
          <w:b/>
          <w:bCs/>
          <w:sz w:val="28"/>
          <w:szCs w:val="28"/>
          <w:lang w:val="es-MX"/>
        </w:rPr>
        <w:lastRenderedPageBreak/>
        <w:t>Introducción</w:t>
      </w:r>
    </w:p>
    <w:p w14:paraId="2219E246" w14:textId="77777777" w:rsidR="00F77ACD" w:rsidRPr="00F77ACD" w:rsidRDefault="00F77ACD" w:rsidP="008F1375">
      <w:pPr>
        <w:rPr>
          <w:lang w:val="es-MX"/>
        </w:rPr>
      </w:pPr>
      <w:r w:rsidRPr="00F77ACD">
        <w:rPr>
          <w:lang w:val="es-MX"/>
        </w:rPr>
        <w:t>La incorporación de la inteligencia artificial en la educación superior representa, sin duda, uno de los procesos de transformación más significativos que han enfrentado las instituciones universitarias en las últimas décadas. Este fenómeno no se limita a la adopción de nuevas herramientas tecnológicas, sino que implica una reconfiguración profunda de los procesos de enseñanza, aprendizaje, evaluación, investigación y gestión institucional.</w:t>
      </w:r>
    </w:p>
    <w:p w14:paraId="560A662E" w14:textId="77777777" w:rsidR="00F77ACD" w:rsidRPr="00F77ACD" w:rsidRDefault="00F77ACD" w:rsidP="008F1375">
      <w:pPr>
        <w:rPr>
          <w:lang w:val="es-MX"/>
        </w:rPr>
      </w:pPr>
      <w:r w:rsidRPr="00F77ACD">
        <w:rPr>
          <w:lang w:val="es-MX"/>
        </w:rPr>
        <w:t>En este contexto, resulta indispensable abordar el tema desde una perspectiva integral, que contemple tanto las oportunidades que ofrece la inteligencia artificial para enriquecer los procesos formativos, como los riesgos que su implementación conlleva en dimensiones como la ética académica, la privacidad de los datos y la equidad en el acceso a las tecnologías.</w:t>
      </w:r>
    </w:p>
    <w:p w14:paraId="67FEC8E0" w14:textId="77777777" w:rsidR="00F77ACD" w:rsidRPr="00F77ACD" w:rsidRDefault="00F77ACD" w:rsidP="008F1375">
      <w:pPr>
        <w:rPr>
          <w:lang w:val="es-MX"/>
        </w:rPr>
      </w:pPr>
      <w:r w:rsidRPr="00F77ACD">
        <w:rPr>
          <w:lang w:val="es-MX"/>
        </w:rPr>
        <w:t xml:space="preserve">El presente libro, titulado </w:t>
      </w:r>
      <w:r w:rsidRPr="00F77ACD">
        <w:rPr>
          <w:i/>
          <w:iCs/>
          <w:lang w:val="es-MX"/>
        </w:rPr>
        <w:t>Inteligencia artificial en la educación superior: oportunidades, riesgos y perspectivas</w:t>
      </w:r>
      <w:r w:rsidRPr="00F77ACD">
        <w:rPr>
          <w:lang w:val="es-MX"/>
        </w:rPr>
        <w:t>, se propone como un espacio de reflexión académica, dirigido a docentes, investigadores, estudiantes de posgrado y profesionales vinculados con la innovación educativa. Su objetivo general es analizar, de manera crítica y fundamentada, los efectos que la inteligencia artificial genera sobre la enseñanza universitaria, la investigación científica, la gestión institucional y la formación integral del estudiante.</w:t>
      </w:r>
    </w:p>
    <w:p w14:paraId="346D353C" w14:textId="77777777" w:rsidR="00F77ACD" w:rsidRPr="00F77ACD" w:rsidRDefault="00F77ACD" w:rsidP="008F1375">
      <w:pPr>
        <w:rPr>
          <w:lang w:val="es-MX"/>
        </w:rPr>
      </w:pPr>
      <w:r w:rsidRPr="00F77ACD">
        <w:rPr>
          <w:lang w:val="es-MX"/>
        </w:rPr>
        <w:t>La obra está organizada en diez capítulos, que abordan de forma progresiva los fundamentos tecnológicos, las aplicaciones pedagógicas, los desafíos éticos y las perspectivas futuras de la inteligencia artificial en el ámbito universitario. Cada capítulo ha sido diseñado para ofrecer una visión equilibrada, que combine el rigor académico con la aplicabilidad práctica, de modo que los lectores puedan encontrar tanto marcos conceptuales sólidos como orientaciones concretas para la toma de decisiones institucionales.</w:t>
      </w:r>
    </w:p>
    <w:p w14:paraId="5C9FFBF0" w14:textId="77777777" w:rsidR="00F77ACD" w:rsidRPr="00F77ACD" w:rsidRDefault="00F77ACD" w:rsidP="008F1375">
      <w:pPr>
        <w:rPr>
          <w:lang w:val="es-MX"/>
        </w:rPr>
      </w:pPr>
      <w:r w:rsidRPr="00F77ACD">
        <w:rPr>
          <w:lang w:val="es-MX"/>
        </w:rPr>
        <w:t>Con esta obra, los autores buscan contribuir al debate internacional sobre el futuro de la educación superior, en un momento histórico en el que la inteligencia artificial se consolida como un factor determinante para la innovación pedagógica, la investigación científica y la transformación digital de las universidades.</w:t>
      </w:r>
    </w:p>
    <w:p w14:paraId="27406D5A" w14:textId="42C9757F" w:rsidR="00F77ACD" w:rsidRDefault="00F77ACD">
      <w:pPr>
        <w:spacing w:before="0" w:after="160" w:line="278" w:lineRule="auto"/>
        <w:jc w:val="left"/>
        <w:rPr>
          <w:lang w:val="es-MX"/>
        </w:rPr>
      </w:pPr>
      <w:r>
        <w:rPr>
          <w:lang w:val="es-MX"/>
        </w:rPr>
        <w:br w:type="page"/>
      </w:r>
    </w:p>
    <w:p w14:paraId="696D03BD" w14:textId="77777777" w:rsidR="00F77ACD" w:rsidRPr="007803A1" w:rsidRDefault="00F77ACD" w:rsidP="007803A1">
      <w:pPr>
        <w:jc w:val="center"/>
        <w:rPr>
          <w:b/>
          <w:bCs/>
          <w:sz w:val="28"/>
          <w:szCs w:val="28"/>
          <w:lang w:val="es-MX"/>
        </w:rPr>
      </w:pPr>
      <w:r w:rsidRPr="007803A1">
        <w:rPr>
          <w:b/>
          <w:bCs/>
          <w:sz w:val="28"/>
          <w:szCs w:val="28"/>
          <w:lang w:val="es-MX"/>
        </w:rPr>
        <w:lastRenderedPageBreak/>
        <w:t>Prólogo</w:t>
      </w:r>
    </w:p>
    <w:p w14:paraId="16355868" w14:textId="77777777" w:rsidR="00F77ACD" w:rsidRPr="00F77ACD" w:rsidRDefault="00F77ACD" w:rsidP="007803A1">
      <w:pPr>
        <w:rPr>
          <w:lang w:val="es-MX"/>
        </w:rPr>
      </w:pPr>
      <w:r w:rsidRPr="00F77ACD">
        <w:rPr>
          <w:lang w:val="es-MX"/>
        </w:rPr>
        <w:t>Vivimos un momento de transición histórica, en el que la inteligencia artificial ha dejado de ser una promesa tecnológica distante para convertirse en una realidad cotidiana dentro de las aulas universitarias. Esta transformación, acelerada en los últimos años, obliga a las instituciones de educación superior a replantear sus modelos pedagógicos, sus estructuras organizativas y sus marcos éticos de actuación.</w:t>
      </w:r>
    </w:p>
    <w:p w14:paraId="178D5318" w14:textId="77777777" w:rsidR="00F77ACD" w:rsidRPr="00F77ACD" w:rsidRDefault="00F77ACD" w:rsidP="007803A1">
      <w:pPr>
        <w:rPr>
          <w:lang w:val="es-MX"/>
        </w:rPr>
      </w:pPr>
      <w:r w:rsidRPr="00F77ACD">
        <w:rPr>
          <w:lang w:val="es-MX"/>
        </w:rPr>
        <w:t>La presente obra surge de la necesidad de ofrecer una mirada rigurosa, actualizada y colectiva sobre este fenómeno. Sus autores, provenientes de distintas disciplinas y contextos institucionales, han unido esfuerzos para construir un texto que combine el análisis teórico con la aplicabilidad práctica, de modo que resulte útil tanto para quienes investigan el fenómeno como para quienes deben tomar decisiones concretas en sus instituciones.</w:t>
      </w:r>
    </w:p>
    <w:p w14:paraId="23B973DF" w14:textId="77777777" w:rsidR="00F77ACD" w:rsidRPr="00F77ACD" w:rsidRDefault="00F77ACD" w:rsidP="007803A1">
      <w:pPr>
        <w:rPr>
          <w:lang w:val="es-MX"/>
        </w:rPr>
      </w:pPr>
      <w:r w:rsidRPr="00F77ACD">
        <w:rPr>
          <w:lang w:val="es-MX"/>
        </w:rPr>
        <w:t>A lo largo de estas páginas, el lector encontrará un recorrido que va desde los fundamentos tecnológicos de la inteligencia artificial, hasta sus implicaciones más profundas en materia de ética, inclusión y gobernanza institucional. Se trata de un recorrido pensado no solo para comprender el presente, sino también para anticipar los escenarios futuros que definirán a la universidad en las próximas décadas.</w:t>
      </w:r>
    </w:p>
    <w:p w14:paraId="1C9EF5AD" w14:textId="77777777" w:rsidR="00F77ACD" w:rsidRPr="00F77ACD" w:rsidRDefault="00F77ACD" w:rsidP="007803A1">
      <w:pPr>
        <w:rPr>
          <w:lang w:val="es-MX"/>
        </w:rPr>
      </w:pPr>
      <w:r w:rsidRPr="00F77ACD">
        <w:rPr>
          <w:lang w:val="es-MX"/>
        </w:rPr>
        <w:t>Esperamos que esta obra se convierta en una referencia valiosa para el debate académico internacional sobre inteligencia artificial y educación superior, y que contribuya a fortalecer una reflexión crítica, responsable y humanista sobre el papel de la tecnología en la formación de las nuevas generaciones.</w:t>
      </w:r>
    </w:p>
    <w:p w14:paraId="45AD5C28" w14:textId="27E05655" w:rsidR="00F77ACD" w:rsidRDefault="00F77ACD">
      <w:pPr>
        <w:spacing w:before="0" w:after="160" w:line="278" w:lineRule="auto"/>
        <w:jc w:val="left"/>
        <w:rPr>
          <w:lang w:val="es-MX"/>
        </w:rPr>
      </w:pPr>
      <w:r>
        <w:rPr>
          <w:lang w:val="es-MX"/>
        </w:rPr>
        <w:br w:type="page"/>
      </w:r>
    </w:p>
    <w:p w14:paraId="23272703" w14:textId="336241CE" w:rsidR="00435CE4" w:rsidRPr="00435CE4" w:rsidRDefault="00F77ACD" w:rsidP="00435CE4">
      <w:pPr>
        <w:pStyle w:val="Ttulo1"/>
      </w:pPr>
      <w:bookmarkStart w:id="0" w:name="_Toc239440857"/>
      <w:r w:rsidRPr="007803A1">
        <w:lastRenderedPageBreak/>
        <w:t>Capítulo 1. Inteligencia artificial y transformación de la educación superior</w:t>
      </w:r>
      <w:bookmarkEnd w:id="0"/>
      <w:r w:rsidR="00435CE4">
        <w:br w:type="page"/>
      </w:r>
    </w:p>
    <w:p w14:paraId="0962103F" w14:textId="77777777" w:rsidR="00435CE4" w:rsidRPr="00435CE4" w:rsidRDefault="00435CE4" w:rsidP="00435CE4">
      <w:pPr>
        <w:jc w:val="center"/>
        <w:rPr>
          <w:b/>
          <w:bCs/>
          <w:sz w:val="28"/>
          <w:szCs w:val="28"/>
        </w:rPr>
      </w:pPr>
      <w:r w:rsidRPr="00435CE4">
        <w:rPr>
          <w:b/>
          <w:bCs/>
          <w:sz w:val="28"/>
          <w:szCs w:val="28"/>
        </w:rPr>
        <w:lastRenderedPageBreak/>
        <w:t>Introducción</w:t>
      </w:r>
    </w:p>
    <w:p w14:paraId="1215F6B0" w14:textId="77777777" w:rsidR="00435CE4" w:rsidRPr="00435CE4" w:rsidRDefault="00435CE4" w:rsidP="00435CE4">
      <w:r w:rsidRPr="00435CE4">
        <w:t>La inteligencia artificial se ha convertido en un factor decisivo para la transformación de la educación superior. Su incorporación no se limita a la automatización de tareas, pues también modifica la enseñanza, el aprendizaje, la investigación, la evaluación y la gestión universitaria. Los sistemas de tutoría inteligente, la analítica del aprendizaje y los modelos generativos ofrecen oportunidades para personalizar experiencias, ampliar el acceso al conocimiento y apoyar la toma de decisiones. Sin embargo, también plantean desafíos relacionados con la privacidad, los sesgos algorítmicos, la integridad académica, la autonomía y la responsabilidad institucional (Miao &amp; Holmes, 2023; UNESCO, 2021).</w:t>
      </w:r>
    </w:p>
    <w:p w14:paraId="6FA58172" w14:textId="77777777" w:rsidR="00435CE4" w:rsidRPr="00435CE4" w:rsidRDefault="00435CE4" w:rsidP="00435CE4">
      <w:r w:rsidRPr="00435CE4">
        <w:t>Este capítulo analiza la evolución de la inteligencia artificial educativa, la transformación digital universitaria, la configuración de nuevos ecosistemas de aprendizaje y las principales tendencias emergentes. Su propósito es comprender estas tecnologías desde una perspectiva pedagógica, ética e institucional, reconociendo que su valor depende de los objetivos que orientan su utilización y de las condiciones en las que se implementan. Así, la universidad debe asumir un papel activo en la evaluación y gobernanza de la inteligencia artificial, procurando que la innovación contribuya a la calidad educativa, la inclusión, la sostenibilidad y el desarrollo de capacidades humanas.</w:t>
      </w:r>
    </w:p>
    <w:p w14:paraId="374FD9B3" w14:textId="4252821A" w:rsidR="009C6A73" w:rsidRPr="009C6A73" w:rsidRDefault="00F77ACD" w:rsidP="00435CE4">
      <w:pPr>
        <w:pStyle w:val="Ttulo2"/>
        <w:rPr>
          <w:rFonts w:eastAsia="Calibri"/>
        </w:rPr>
      </w:pPr>
      <w:r>
        <w:rPr>
          <w:lang w:val="es-MX"/>
        </w:rPr>
        <w:br w:type="page"/>
      </w:r>
      <w:bookmarkStart w:id="1" w:name="_Toc239440858"/>
      <w:r w:rsidR="009C6A73" w:rsidRPr="00435CE4">
        <w:lastRenderedPageBreak/>
        <w:t>Evolución</w:t>
      </w:r>
      <w:r w:rsidR="009C6A73" w:rsidRPr="009C6A73">
        <w:rPr>
          <w:rFonts w:eastAsia="Calibri"/>
        </w:rPr>
        <w:t xml:space="preserve"> de la inteligencia artificial en educación</w:t>
      </w:r>
      <w:bookmarkEnd w:id="1"/>
    </w:p>
    <w:p w14:paraId="0D5F8697" w14:textId="77777777" w:rsidR="009C6A73" w:rsidRPr="009C6A73" w:rsidRDefault="009C6A73" w:rsidP="009C6A73">
      <w:pPr>
        <w:pStyle w:val="Ttulo3"/>
        <w:rPr>
          <w:lang w:val="es-MX"/>
        </w:rPr>
      </w:pPr>
      <w:bookmarkStart w:id="2" w:name="_Toc239440859"/>
      <w:r w:rsidRPr="009C6A73">
        <w:rPr>
          <w:lang w:val="es-MX"/>
        </w:rPr>
        <w:t>De los sistemas simbólicos al aprendizaje basado en datos</w:t>
      </w:r>
      <w:bookmarkEnd w:id="2"/>
    </w:p>
    <w:p w14:paraId="24BB0B2D" w14:textId="77777777" w:rsidR="009C6A73" w:rsidRPr="009C6A73" w:rsidRDefault="009C6A73" w:rsidP="009C6A73">
      <w:pPr>
        <w:rPr>
          <w:lang w:val="es-MX"/>
        </w:rPr>
      </w:pPr>
      <w:r w:rsidRPr="009C6A73">
        <w:rPr>
          <w:lang w:val="es-MX"/>
        </w:rPr>
        <w:t>La evolución de la inteligencia artificial aplicada a la educación puede comprenderse como un desplazamiento gradual desde sistemas construidos mediante reglas explícitas hacia modelos capaces de reconocer patrones en grandes conjuntos de datos. En las primeras etapas, los programas intentaban reproducir decisiones expertas a través de estructuras lógicas definidas por especialistas. Su funcionamiento dependía de que el conocimiento disciplinar pudiera representarse como una secuencia relativamente estable de condiciones y respuestas. Este enfoque permitió desarrollar experiencias tempranas de diagnóstico y tutoría, pero mostró limitaciones cuando los problemas educativos involucraban ambigüedad, diversidad de trayectorias o contextos difíciles de anticipar. La transición hacia el aprendizaje automático amplió el repertorio de aplicaciones, porque hizo posible estimar probabilidades, clasificar comportamientos y adaptar recomendaciones a partir de datos observados. Sin embargo, esta mayor flexibilidad también redujo la transparencia inmediata de algunos procesos, lo que convirtió la explicabilidad y la supervisión humana en preocupaciones centrales para el ámbito universitario (Zawacki-Richter et al., 2019; Tabassi, 2023).</w:t>
      </w:r>
    </w:p>
    <w:p w14:paraId="36A8794B" w14:textId="77777777" w:rsidR="009C6A73" w:rsidRPr="009C6A73" w:rsidRDefault="009C6A73" w:rsidP="009C6A73">
      <w:pPr>
        <w:rPr>
          <w:lang w:val="es-MX"/>
        </w:rPr>
      </w:pPr>
      <w:r w:rsidRPr="009C6A73">
        <w:rPr>
          <w:lang w:val="es-MX"/>
        </w:rPr>
        <w:t>El paso hacia métodos estadísticos no significó la desaparición de las reglas, sino una reorganización de la relación entre conocimiento humano, datos y cálculo. Todo modelo continúa dependiendo de decisiones humanas sobre qué problema resolver, qué variables considerar, qué datos utilizar y cómo interpretar los resultados. En educación, estas decisiones tienen consecuencias pedagógicas, porque una definición estrecha del rendimiento puede privilegiar indicadores fácilmente medibles y dejar fuera dimensiones como la creatividad, la colaboración, la argumentación o el desarrollo ético. Por ello, la historia de la inteligencia artificial educativa no debe presentarse como una sucesión inevitable de avances técnicos, sino como un proceso de selección institucional. Cada generación tecnológica incorpora determinadas concepciones del aprendizaje y de la eficiencia. Reconocer esta dimensión ayuda a evitar el determinismo tecnológico y permite preguntar si una herramienta representa adecuadamente los propósitos formativos de la universidad, además de valorar si sus beneficios justifican los costos y riesgos asociados (UNESCO, 2021; OECD, 2023).</w:t>
      </w:r>
    </w:p>
    <w:p w14:paraId="7841F1B5" w14:textId="77777777" w:rsidR="009C6A73" w:rsidRPr="009C6A73" w:rsidRDefault="009C6A73" w:rsidP="009C6A73">
      <w:pPr>
        <w:rPr>
          <w:lang w:val="es-MX"/>
        </w:rPr>
      </w:pPr>
      <w:r w:rsidRPr="009C6A73">
        <w:rPr>
          <w:lang w:val="es-MX"/>
        </w:rPr>
        <w:t xml:space="preserve">La disponibilidad de datos digitales modificó de manera decisiva este proceso. Los entornos virtuales, sistemas de gestión académica, bibliotecas digitales y plataformas de evaluación generaron registros que podían analizarse para identificar tendencias. Esta capacidad favoreció aplicaciones como la predicción de abandono, la recomendación de contenidos y la retroalimentación automatizada. No obstante, los datos educativos no son una representación completa de la experiencia de aprendizaje. Un registro de acceso informa que una persona ingresó </w:t>
      </w:r>
      <w:r w:rsidRPr="009C6A73">
        <w:rPr>
          <w:lang w:val="es-MX"/>
        </w:rPr>
        <w:lastRenderedPageBreak/>
        <w:t>a una plataforma, pero no demuestra qué comprendió, qué dudas enfrentó ni qué reflexión realizó fuera del sistema. La evolución técnica debe acompañarse, por tanto, de una evolución metodológica que distinga entre indicadores, interpretaciones y decisiones. La investigación reciente continúa señalando que el valor educativo de la inteligencia artificial depende de su articulación con teorías del aprendizaje, criterios de calidad y participación sustantiva de profesionales de la educación (Bond et al., 2024; Crompton &amp; Burke, 2023).</w:t>
      </w:r>
    </w:p>
    <w:p w14:paraId="14E2A731" w14:textId="77777777" w:rsidR="009C6A73" w:rsidRPr="009C6A73" w:rsidRDefault="009C6A73" w:rsidP="00E71C93">
      <w:pPr>
        <w:pStyle w:val="Ttulo3"/>
        <w:rPr>
          <w:lang w:val="es-MX"/>
        </w:rPr>
      </w:pPr>
      <w:bookmarkStart w:id="3" w:name="_Toc239440860"/>
      <w:r w:rsidRPr="009C6A73">
        <w:rPr>
          <w:lang w:val="es-MX"/>
        </w:rPr>
        <w:t>Sistemas de tutoría inteligente y modelos pedagógicos</w:t>
      </w:r>
      <w:bookmarkEnd w:id="3"/>
    </w:p>
    <w:p w14:paraId="5634AEC8" w14:textId="77777777" w:rsidR="009C6A73" w:rsidRPr="009C6A73" w:rsidRDefault="009C6A73" w:rsidP="007D65A0">
      <w:pPr>
        <w:rPr>
          <w:lang w:val="es-MX"/>
        </w:rPr>
      </w:pPr>
      <w:r w:rsidRPr="009C6A73">
        <w:rPr>
          <w:lang w:val="es-MX"/>
        </w:rPr>
        <w:t>Los sistemas de tutoría inteligente ocupan un lugar central en la historia de la inteligencia artificial educativa porque intentan reproducir algunas funciones de la tutoría individual. Sus arquitecturas clásicas suelen integrar un modelo del dominio, un modelo del estudiante y un componente pedagógico. El primero organiza los conocimientos y procedimientos de una disciplina; el segundo estima el estado de comprensión del aprendiz; el tercero selecciona explicaciones, ejercicios o ayudas. Esta estructura muestra que la tutoría inteligente nunca ha sido únicamente un problema de programación. Para decidir qué intervención resulta adecuada es necesario definir cómo se aprende un contenido, qué errores son significativos y qué secuencia puede favorecer la comprensión. Las revisiones del campo identifican la tutoría, la personalización, la evaluación y la predicción como aplicaciones persistentes de la inteligencia artificial en educación superior, aunque también advierten que la participación de especialistas en educación ha sido menor de lo deseable en una parte importante de la investigación (Zawacki-Richter et al., 2019; Crompton &amp; Burke, 2023).</w:t>
      </w:r>
    </w:p>
    <w:p w14:paraId="3E222066" w14:textId="77777777" w:rsidR="009C6A73" w:rsidRPr="009C6A73" w:rsidRDefault="009C6A73" w:rsidP="007D65A0">
      <w:pPr>
        <w:rPr>
          <w:lang w:val="es-MX"/>
        </w:rPr>
      </w:pPr>
      <w:r w:rsidRPr="009C6A73">
        <w:rPr>
          <w:lang w:val="es-MX"/>
        </w:rPr>
        <w:t>La eficacia de un tutor inteligente depende de la calidad de la interacción y no únicamente de la exactitud de sus respuestas. Una intervención pedagógica puede requerir que el sistema formule una pregunta, ofrezca una pista parcial o invite a comparar estrategias, en lugar de revelar inmediatamente la solución. Esta diferencia resulta fundamental, porque aprender implica reorganizar conocimientos y desarrollar capacidades, no solo completar una tarea. Cuando una herramienta responde con excesiva rapidez, puede reducir oportunidades de esfuerzo productivo. En cambio, si adapta la ayuda al nivel de avance, permite nuevos intentos y promueve la explicación, puede contribuir a la autorregulación. El diseño debe establecer qué acciones puede ejecutar el sistema, en qué momento debe intervenir el docente y cómo se comprobará que la asistencia mejora el aprendizaje. La disponibilidad permanente de un tutor automatizado no garantiza por sí misma una experiencia educativa de calidad (OECD, 2026).</w:t>
      </w:r>
    </w:p>
    <w:p w14:paraId="3E41B88E" w14:textId="77777777" w:rsidR="009C6A73" w:rsidRDefault="009C6A73" w:rsidP="007D65A0">
      <w:pPr>
        <w:rPr>
          <w:lang w:val="es-MX"/>
        </w:rPr>
      </w:pPr>
      <w:r w:rsidRPr="009C6A73">
        <w:rPr>
          <w:lang w:val="es-MX"/>
        </w:rPr>
        <w:t xml:space="preserve">La evolución contemporánea de estos sistemas incorpora lenguaje natural y modelos generativos, lo que permite conversaciones más flexibles. Esta capacidad facilita que el estudiante formule preguntas con sus propias palabras y reciba explicaciones adaptadas. Al mismo tiempo, aumenta la dificultad de anticipar todas las respuestas posibles. Los tutores tradicionales operaban dentro </w:t>
      </w:r>
      <w:r w:rsidRPr="009C6A73">
        <w:rPr>
          <w:lang w:val="es-MX"/>
        </w:rPr>
        <w:lastRenderedPageBreak/>
        <w:t>de dominios relativamente delimitados; los asistentes generativos pueden producir contenido sobre numerosos temas, pero también inventar datos, simplificar en exceso o responder fuera de los límites curriculares. La universidad necesita combinar apertura conversacional con control de fuentes, mecanismos de verificación y rutas de derivación hacia personas responsables. La confianza debe construirse mediante evidencia de desempeño, transparencia sobre las limitaciones y posibilidad de revisión. De esta forma, la evolución del tutor inteligente puede conservar su propósito pedagógico sin confundir fluidez comunicativa con conocimiento validado (Miao &amp; Holmes, 2023; UNESCO IESALC, 2023).</w:t>
      </w:r>
    </w:p>
    <w:p w14:paraId="7A51EEB5" w14:textId="77777777" w:rsidR="009C6A73" w:rsidRDefault="009C6A73" w:rsidP="007D65A0">
      <w:pPr>
        <w:pStyle w:val="Ttulo3"/>
        <w:rPr>
          <w:lang w:val="es-MX"/>
        </w:rPr>
      </w:pPr>
      <w:bookmarkStart w:id="4" w:name="_Toc239440861"/>
      <w:r w:rsidRPr="009C6A73">
        <w:rPr>
          <w:lang w:val="es-MX"/>
        </w:rPr>
        <w:t>La inteligencia artificial generativa como punto de inflexión</w:t>
      </w:r>
      <w:bookmarkEnd w:id="4"/>
    </w:p>
    <w:p w14:paraId="343F8EC4" w14:textId="77777777" w:rsidR="009C6A73" w:rsidRPr="009C6A73" w:rsidRDefault="009C6A73" w:rsidP="007D65A0">
      <w:pPr>
        <w:rPr>
          <w:lang w:val="es-MX"/>
        </w:rPr>
      </w:pPr>
      <w:r w:rsidRPr="009C6A73">
        <w:rPr>
          <w:lang w:val="es-MX"/>
        </w:rPr>
        <w:t>La expansión pública de los modelos generativos constituyó un punto de inflexión porque acercó capacidades avanzadas a usuarios sin formación especializada. A diferencia de muchas aplicaciones anteriores, integradas dentro de plataformas institucionales, los asistentes conversacionales podían utilizarse directamente para resumir, traducir, programar, explicar y redactar. Esta accesibilidad aceleró la adopción estudiantil y obligó a las universidades a responder mientras las prácticas todavía estaban cambiando. El desafío no se originó únicamente en la novedad técnica, sino en la combinación de facilidad de uso, alcance transversal y disponibilidad fuera del control institucional. Una misma herramienta podía intervenir en tareas de aprendizaje, investigación y administración. Por esa razón, las respuestas limitadas a una asignatura o a un reglamento de evaluación resultaron insuficientes. La orientación internacional ha recomendado desarrollar capacidades humanas, políticas institucionales y mecanismos de protección de datos mediante un enfoque centrado en las personas (Miao &amp; Holmes, 2023).</w:t>
      </w:r>
    </w:p>
    <w:p w14:paraId="0554B62B" w14:textId="77777777" w:rsidR="009C6A73" w:rsidRPr="009C6A73" w:rsidRDefault="009C6A73" w:rsidP="007D65A0">
      <w:pPr>
        <w:rPr>
          <w:lang w:val="es-MX"/>
        </w:rPr>
      </w:pPr>
      <w:r w:rsidRPr="009C6A73">
        <w:rPr>
          <w:lang w:val="es-MX"/>
        </w:rPr>
        <w:t>Los modelos generativos modificaron la relación entre producción y evaluación del conocimiento. Antes de su difusión, la elaboración de un texto coherente podía considerarse una evidencia aproximada de comprensión, aunque nunca perfecta. Con la generación automática, un producto formalmente correcto puede obtenerse sin que su presentador domine el contenido. Esta situación no elimina el valor de la escritura, pero exige observar el proceso, la selección de fuentes, la revisión y la capacidad de defender decisiones. La universidad debe evitar dos respuestas extremas. La primera consiste en aceptar cualquier resultado por considerar inevitable la tecnología; la segunda pretende restaurar el escenario anterior mediante prohibiciones generales difíciles de aplicar. Una respuesta formativa redefine las tareas, explicita los usos permitidos y utiliza la inteligencia artificial como objeto de evaluación crítica. La prioridad es preservar la correspondencia entre evidencia presentada y aprendizaje alcanzado (UNESCO IESALC, 2023; OECD, 2026).</w:t>
      </w:r>
    </w:p>
    <w:p w14:paraId="1DDD559B" w14:textId="77777777" w:rsidR="009C6A73" w:rsidRDefault="009C6A73" w:rsidP="007D65A0">
      <w:pPr>
        <w:rPr>
          <w:lang w:val="es-MX"/>
        </w:rPr>
      </w:pPr>
      <w:r w:rsidRPr="009C6A73">
        <w:rPr>
          <w:lang w:val="es-MX"/>
        </w:rPr>
        <w:t xml:space="preserve">Este punto de inflexión también amplió la conversación sobre quién puede desarrollar y gobernar la inteligencia artificial. Los modelos de gran escala requieren infraestructura, datos y recursos </w:t>
      </w:r>
      <w:r w:rsidRPr="009C6A73">
        <w:rPr>
          <w:lang w:val="es-MX"/>
        </w:rPr>
        <w:lastRenderedPageBreak/>
        <w:t>que se concentran en un número reducido de organizaciones. Las universidades utilizan servicios cuyos procesos de entrenamiento, actualización y moderación pueden no ser completamente visibles. Esta dependencia plantea preguntas sobre soberanía de datos, continuidad del servicio y adecuación cultural. Al mismo tiempo, las instituciones de educación superior conservan funciones irrenunciables como productoras de conocimiento, formadoras de profesionales y espacios de deliberación pública. Su papel no debe limitarse a consumir herramientas. Pueden evaluar tecnologías, desarrollar alternativas abiertas, contribuir a estándares, investigar impactos y formar a la sociedad para comprender decisiones algorítmicas. La historia de la inteligencia artificial educativa entra así en una fase en la que la capacidad de gobernanza resulta tan importante como la capacidad de adopción (UNESCO, 2021; OECD, 2023).</w:t>
      </w:r>
    </w:p>
    <w:p w14:paraId="7C0CEFA7" w14:textId="1752D5AD" w:rsidR="00F70BFF" w:rsidRDefault="00F70BFF" w:rsidP="007D65A0">
      <w:pPr>
        <w:rPr>
          <w:lang w:val="es-MX"/>
        </w:rPr>
      </w:pPr>
      <w:r>
        <w:rPr>
          <w:noProof/>
          <w:lang w:val="es-MX"/>
        </w:rPr>
        <w:drawing>
          <wp:inline distT="0" distB="0" distL="0" distR="0" wp14:anchorId="5FDC1900" wp14:editId="19B7F5F6">
            <wp:extent cx="5399405" cy="3602990"/>
            <wp:effectExtent l="0" t="0" r="0" b="0"/>
            <wp:docPr id="3325527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99405" cy="3602990"/>
                    </a:xfrm>
                    <a:prstGeom prst="rect">
                      <a:avLst/>
                    </a:prstGeom>
                    <a:noFill/>
                    <a:ln>
                      <a:noFill/>
                    </a:ln>
                  </pic:spPr>
                </pic:pic>
              </a:graphicData>
            </a:graphic>
          </wp:inline>
        </w:drawing>
      </w:r>
    </w:p>
    <w:p w14:paraId="4F29E7CF" w14:textId="77777777" w:rsidR="009C6A73" w:rsidRPr="009C6A73" w:rsidRDefault="009C6A73" w:rsidP="007D65A0">
      <w:pPr>
        <w:pStyle w:val="Ttulo3"/>
        <w:rPr>
          <w:lang w:val="es-MX"/>
        </w:rPr>
      </w:pPr>
      <w:bookmarkStart w:id="5" w:name="_Toc239440862"/>
      <w:r w:rsidRPr="009C6A73">
        <w:rPr>
          <w:lang w:val="es-MX"/>
        </w:rPr>
        <w:t>La evolución de la inteligencia artificial desde una perspectiva latinoamericana</w:t>
      </w:r>
      <w:bookmarkEnd w:id="5"/>
    </w:p>
    <w:p w14:paraId="15AEDB80" w14:textId="77777777" w:rsidR="009C6A73" w:rsidRPr="009C6A73" w:rsidRDefault="009C6A73" w:rsidP="007D65A0">
      <w:pPr>
        <w:rPr>
          <w:lang w:val="es-MX"/>
        </w:rPr>
      </w:pPr>
      <w:r w:rsidRPr="009C6A73">
        <w:rPr>
          <w:lang w:val="es-MX"/>
        </w:rPr>
        <w:t xml:space="preserve">La historia de la inteligencia artificial educativa suele narrarse desde centros de investigación con alta capacidad tecnológica, pero su incorporación en América Latina ha seguido trayectorias condicionadas por desigualdades institucionales, económicas y territoriales. Muchas universidades combinaron sistemas heredados, conectividad irregular y equipos profesionales con recursos limitados. En este contexto, la adopción no puede evaluarse únicamente mediante la comparación con instituciones de países de altos ingresos. Es necesario considerar la capacidad local para mantener soluciones, formar usuarios y producir contenidos culturalmente pertinentes. Una herramienta técnicamente avanzada puede generar escaso valor si depende de servicios </w:t>
      </w:r>
      <w:r w:rsidRPr="009C6A73">
        <w:rPr>
          <w:lang w:val="es-MX"/>
        </w:rPr>
        <w:lastRenderedPageBreak/>
        <w:t>inestables o si no responde a las características lingüísticas y pedagógicas de la población. La perspectiva regional permite comprender que la innovación no consiste en reproducir modelos externos, sino en seleccionar, adaptar y evaluar tecnologías desde las prioridades de cada sistema universitario (UNESCO, 2021; OECD, 2023).</w:t>
      </w:r>
    </w:p>
    <w:p w14:paraId="7027752B" w14:textId="77777777" w:rsidR="009C6A73" w:rsidRPr="009C6A73" w:rsidRDefault="009C6A73" w:rsidP="007D65A0">
      <w:pPr>
        <w:rPr>
          <w:lang w:val="es-MX"/>
        </w:rPr>
      </w:pPr>
      <w:r w:rsidRPr="009C6A73">
        <w:rPr>
          <w:lang w:val="es-MX"/>
        </w:rPr>
        <w:t>La expansión de la educación virtual durante la emergencia sanitaria aceleró procesos que ya estaban en marcha y dejó aprendizajes relevantes para la inteligencia artificial. Las instituciones comprobaron que trasladar una clase a una plataforma no garantiza una experiencia de aprendizaje adecuada. También observaron que la flexibilidad beneficia a ciertos estudiantes, mientras la falta de dispositivos, espacios o conectividad excluye a otros. Estas lecciones deben orientar la nueva etapa. La inteligencia artificial puede ampliar apoyo y personalización, pero su implementación necesita diagnósticos de acceso y alternativas. La urgencia no debería justificar soluciones permanentes sin evaluación. La transformación sostenible requiere pasar de respuestas improvisadas a políticas que integren infraestructura, pedagogía, bienestar y protección de datos. El aprendizaje institucional acumulado constituye un recurso estratégico para evitar que la siguiente ola tecnológica repita errores de digitalizaciones anteriores (Miao &amp; Holmes, 2023).</w:t>
      </w:r>
    </w:p>
    <w:p w14:paraId="34C6F140" w14:textId="77777777" w:rsidR="009C6A73" w:rsidRPr="009C6A73" w:rsidRDefault="009C6A73" w:rsidP="007D65A0">
      <w:pPr>
        <w:rPr>
          <w:lang w:val="es-MX"/>
        </w:rPr>
      </w:pPr>
      <w:r w:rsidRPr="009C6A73">
        <w:rPr>
          <w:lang w:val="es-MX"/>
        </w:rPr>
        <w:t>Las universidades latinoamericanas también pueden aportar perspectivas propias al desarrollo global. La diversidad cultural, los sistemas públicos de educación superior y la experiencia con modalidades comunitarias ofrecen conocimientos valiosos para diseñar tecnologías más inclusivas. La investigación regional puede examinar cómo funcionan los modelos en español, lenguas indígenas y contextos de conectividad limitada. Puede además cuestionar supuestos sobre éxito, eficiencia y personalización que no siempre coinciden con las prioridades locales. Para que esta contribución sea posible se necesitan alianzas, financiamiento y acceso a infraestructura. La cooperación entre instituciones permite compartir datos de forma responsable, desarrollar recursos abiertos y formar equipos interdisciplinarios. La participación regional no debe limitarse a probar productos creados en otros lugares. Las universidades pueden intervenir en la definición de problemas, estándares y criterios de evaluación (UNESCO, 2021).</w:t>
      </w:r>
    </w:p>
    <w:p w14:paraId="4F21FD30" w14:textId="77777777" w:rsidR="009C6A73" w:rsidRPr="009C6A73" w:rsidRDefault="009C6A73" w:rsidP="007D65A0">
      <w:pPr>
        <w:rPr>
          <w:lang w:val="es-MX"/>
        </w:rPr>
      </w:pPr>
      <w:r w:rsidRPr="009C6A73">
        <w:rPr>
          <w:lang w:val="es-MX"/>
        </w:rPr>
        <w:t xml:space="preserve">La evolución futura dependerá de la capacidad para construir soberanía académica. Este concepto no exige aislamiento tecnológico, sino capacidad para decidir con conocimiento, negociar condiciones y conservar alternativas. Una institución ejerce soberanía cuando comprende los datos que entrega, puede trasladar su información, evalúa el desempeño del sistema y evita dependencias irreversibles. También cuando produce conocimiento sobre los efectos de la tecnología y participa en debates públicos. La inteligencia artificial atraviesa fronteras, pero sus consecuencias se manifiestan en instituciones concretas. La cooperación internacional debe combinarse con responsabilidad local. Las universidades necesitan desarrollar competencias técnicas y jurídicas, pero también fortalecer la investigación educativa que permita determinar si una aplicación mejora realmente el aprendizaje. La autonomía universitaria adquiere una </w:t>
      </w:r>
      <w:r w:rsidRPr="009C6A73">
        <w:rPr>
          <w:lang w:val="es-MX"/>
        </w:rPr>
        <w:lastRenderedPageBreak/>
        <w:t>dimensión digital y algorítmica que debe incorporarse a la planificación estratégica (OECD, 2023; Tabassi, 2023).</w:t>
      </w:r>
    </w:p>
    <w:p w14:paraId="65FB0B94" w14:textId="77777777" w:rsidR="009C6A73" w:rsidRDefault="009C6A73" w:rsidP="007D65A0">
      <w:pPr>
        <w:rPr>
          <w:lang w:val="es-MX"/>
        </w:rPr>
      </w:pPr>
      <w:r w:rsidRPr="009C6A73">
        <w:rPr>
          <w:lang w:val="es-MX"/>
        </w:rPr>
        <w:t>Analizar la evolución desde esta perspectiva evita organizar la historia como una carrera hacia la herramienta más reciente. Las instituciones pueden innovar mediante soluciones sencillas cuando responden bien a una necesidad. Un sistema basado en reglas puede ser preferible a un modelo complejo si ofrece suficiente precisión, mayor transparencia y menor costo. La decisión debe considerar el nivel de riesgo y la capacidad de supervisión. Esta idea es especialmente importante en contextos con recursos limitados. La sofisticación técnica no constituye un valor educativo por sí misma. La evolución responsable combina conocimientos acumulados, evaluación comparativa y capacidad de renunciar a una opción que no ofrece beneficios claros. El progreso debe medirse por la calidad, equidad y sostenibilidad de los resultados, no por el número de tecnologías incorporadas (UNESCO, 2021; OECD, 2026).</w:t>
      </w:r>
    </w:p>
    <w:p w14:paraId="6AF8113E" w14:textId="0F84168F" w:rsidR="009C6A73" w:rsidRPr="009C6A73" w:rsidRDefault="009C6A73" w:rsidP="007D65A0">
      <w:pPr>
        <w:pStyle w:val="Ttulo2"/>
        <w:rPr>
          <w:lang w:val="es-MX"/>
        </w:rPr>
      </w:pPr>
      <w:bookmarkStart w:id="6" w:name="_Toc239440863"/>
      <w:r w:rsidRPr="009C6A73">
        <w:rPr>
          <w:lang w:val="es-MX"/>
        </w:rPr>
        <w:t>Transformación digital universitaria</w:t>
      </w:r>
      <w:bookmarkEnd w:id="6"/>
    </w:p>
    <w:p w14:paraId="49BA679E" w14:textId="77777777" w:rsidR="009C6A73" w:rsidRPr="009C6A73" w:rsidRDefault="009C6A73" w:rsidP="007D65A0">
      <w:pPr>
        <w:pStyle w:val="Ttulo3"/>
        <w:rPr>
          <w:lang w:val="es-MX"/>
        </w:rPr>
      </w:pPr>
      <w:bookmarkStart w:id="7" w:name="_Toc239440864"/>
      <w:r w:rsidRPr="009C6A73">
        <w:rPr>
          <w:lang w:val="es-MX"/>
        </w:rPr>
        <w:t>Transformación organizacional y gestión del cambio</w:t>
      </w:r>
      <w:bookmarkEnd w:id="7"/>
    </w:p>
    <w:p w14:paraId="0F25E80D" w14:textId="77777777" w:rsidR="009C6A73" w:rsidRPr="009C6A73" w:rsidRDefault="009C6A73" w:rsidP="007D65A0">
      <w:pPr>
        <w:rPr>
          <w:lang w:val="es-MX"/>
        </w:rPr>
      </w:pPr>
      <w:r w:rsidRPr="009C6A73">
        <w:rPr>
          <w:lang w:val="es-MX"/>
        </w:rPr>
        <w:t>La transformación digital universitaria es un proceso organizacional que modifica prácticas, relaciones y criterios de decisión. La adquisición de plataformas puede digitalizar procedimientos existentes sin transformar su lógica. Por ejemplo, convertir un formulario impreso en un formulario en línea reduce tiempos, pero no necesariamente mejora la experiencia del estudiante ni la calidad de la información. La transformación aparece cuando la institución revisa el propósito del proceso, elimina pasos innecesarios, integra datos y redefine responsabilidades. La inteligencia artificial puede contribuir a esta revisión mediante automatización, análisis y apoyo a decisiones, pero también puede consolidar ineficiencias si se aplica sobre estructuras mal diseñadas. Por ello, la pregunta inicial no debe ser qué herramienta comprar, sino qué problema institucional se pretende resolver, cómo se medirá el resultado y qué grupos pueden beneficiarse o resultar afectados. La estrategia digital necesita vincular tecnología con misión universitaria y calidad educativa (OECD, 2023).</w:t>
      </w:r>
    </w:p>
    <w:p w14:paraId="3C43F16C" w14:textId="77777777" w:rsidR="009C6A73" w:rsidRPr="009C6A73" w:rsidRDefault="009C6A73" w:rsidP="007D65A0">
      <w:pPr>
        <w:rPr>
          <w:lang w:val="es-MX"/>
        </w:rPr>
      </w:pPr>
      <w:r w:rsidRPr="009C6A73">
        <w:rPr>
          <w:lang w:val="es-MX"/>
        </w:rPr>
        <w:t xml:space="preserve">La gestión del cambio exige reconocer que la adopción no ocurre de forma uniforme. Docentes, estudiantes y personal administrativo poseen experiencias, necesidades y niveles de confianza diferentes. Algunas personas pueden explorar rápidamente nuevas herramientas, mientras otras requieren acompañamiento o manifiestan preocupaciones legítimas. Considerar toda resistencia como falta de innovación impide identificar problemas reales de accesibilidad, privacidad, carga laboral o pertinencia. Una implementación responsable crea espacios de participación, prueba soluciones en escala limitada y comunica con claridad qué decisiones se han tomado. También establece mecanismos para corregir el rumbo. La formación debe conectarse con tareas concretas y permitir que las comunidades compartan aprendizajes. Cuando la transformación se presenta </w:t>
      </w:r>
      <w:r w:rsidRPr="009C6A73">
        <w:rPr>
          <w:lang w:val="es-MX"/>
        </w:rPr>
        <w:lastRenderedPageBreak/>
        <w:t>como una imposición técnica, puede aumentar la fragmentación; cuando se construye con participación, tiene mayor posibilidad de integrarse en la cultura institucional (</w:t>
      </w:r>
      <w:proofErr w:type="spellStart"/>
      <w:r w:rsidRPr="009C6A73">
        <w:rPr>
          <w:lang w:val="es-MX"/>
        </w:rPr>
        <w:t>European</w:t>
      </w:r>
      <w:proofErr w:type="spellEnd"/>
      <w:r w:rsidRPr="009C6A73">
        <w:rPr>
          <w:lang w:val="es-MX"/>
        </w:rPr>
        <w:t xml:space="preserve"> </w:t>
      </w:r>
      <w:proofErr w:type="spellStart"/>
      <w:r w:rsidRPr="009C6A73">
        <w:rPr>
          <w:lang w:val="es-MX"/>
        </w:rPr>
        <w:t>Commission</w:t>
      </w:r>
      <w:proofErr w:type="spellEnd"/>
      <w:r w:rsidRPr="009C6A73">
        <w:rPr>
          <w:lang w:val="es-MX"/>
        </w:rPr>
        <w:t>, 2022; UNESCO, 2021).</w:t>
      </w:r>
    </w:p>
    <w:p w14:paraId="159186A4" w14:textId="77777777" w:rsidR="009C6A73" w:rsidRPr="009C6A73" w:rsidRDefault="009C6A73" w:rsidP="007D65A0">
      <w:pPr>
        <w:rPr>
          <w:lang w:val="es-MX"/>
        </w:rPr>
      </w:pPr>
      <w:r w:rsidRPr="009C6A73">
        <w:rPr>
          <w:lang w:val="es-MX"/>
        </w:rPr>
        <w:t>Los proyectos de inteligencia artificial requieren una visión de ciclo de vida. La etapa de selección debe considerar finalidad, evidencia, accesibilidad y condiciones del proveedor. La implementación necesita responsables, protocolos y soporte. La operación cotidiana requiere seguimiento de errores, cambios y consecuencias no previstas. Finalmente, la institución debe poder modificar o retirar el sistema cuando no cumple su objetivo. Esta perspectiva contrasta con la adopción entendida como un evento único. Un modelo puede cambiar después de una actualización, una fuente de datos puede perder calidad y una práctica que inicialmente parecía útil puede generar dependencia. La gestión del cambio debe incorporar evaluación continua y memoria institucional, de modo que las decisiones no dependan únicamente de personas aisladas. El marco de gestión de riesgos del NIST organiza esta labor mediante funciones de gobernar, contextualizar, medir y gestionar, útiles para estructurar responsabilidades (Tabassi, 2023).</w:t>
      </w:r>
    </w:p>
    <w:p w14:paraId="0AE70338" w14:textId="77777777" w:rsidR="009C6A73" w:rsidRPr="009C6A73" w:rsidRDefault="009C6A73" w:rsidP="007D65A0">
      <w:pPr>
        <w:pStyle w:val="Ttulo3"/>
        <w:rPr>
          <w:lang w:val="es-MX"/>
        </w:rPr>
      </w:pPr>
      <w:bookmarkStart w:id="8" w:name="_Toc239440865"/>
      <w:r w:rsidRPr="009C6A73">
        <w:rPr>
          <w:lang w:val="es-MX"/>
        </w:rPr>
        <w:t>Infraestructura de datos e interoperabilidad</w:t>
      </w:r>
      <w:bookmarkEnd w:id="8"/>
    </w:p>
    <w:p w14:paraId="5B733350" w14:textId="5E72A18E" w:rsidR="009C6A73" w:rsidRPr="009C6A73" w:rsidRDefault="009C6A73" w:rsidP="007D65A0">
      <w:pPr>
        <w:rPr>
          <w:lang w:val="es-MX"/>
        </w:rPr>
      </w:pPr>
      <w:r w:rsidRPr="009C6A73">
        <w:rPr>
          <w:lang w:val="es-MX"/>
        </w:rPr>
        <w:t>La infraestructura digital constituye la base material de cualquier transformación. Incluye conectividad, capacidad de cómputo, almacenamiento, identidad digital, seguridad y soporte técnico. Sin embargo, la incorporación de inteligencia artificial añade una dimensión crítica, la calidad y gobernanza de los datos. Los sistemas universitarios suelen distribuir información entre admisiones, aulas virtuales, bibliotecas, investigación y bienestar estudiantil. Cuando estos registros emplean definiciones incompatibles o contienen errores, su integración puede producir conclusiones engañosas. La interoperabilidad no consiste únicamente en conectar aplicaciones, sino en acordar significados, responsabilidades y reglas de uso. Una variable como participación puede representar acciones diferentes según la plataforma. Antes de alimentar un modelo, la institución debe comprender el origen, alcance y limitaciones de cada dato. De lo contrario, la sofisticación algorítmica puede ocultar debilidades fundamentales de la información disponible (OECD, 2023; Tabassi, 2023).</w:t>
      </w:r>
    </w:p>
    <w:p w14:paraId="6D847833" w14:textId="77777777" w:rsidR="009C6A73" w:rsidRPr="009C6A73" w:rsidRDefault="009C6A73" w:rsidP="007D65A0">
      <w:pPr>
        <w:rPr>
          <w:lang w:val="es-MX"/>
        </w:rPr>
      </w:pPr>
      <w:r w:rsidRPr="009C6A73">
        <w:rPr>
          <w:lang w:val="es-MX"/>
        </w:rPr>
        <w:t xml:space="preserve">La gobernanza de datos debe definir quién puede acceder, con qué finalidad y bajo qué controles. La existencia técnica de un dato no implica que sea legítimo reutilizarlo para cualquier objetivo. Un registro recopilado para administrar una matrícula podría no ser apropiado para construir un perfil predictivo sin una evaluación adicional. La minimización, la seguridad y la transparencia protegen a las personas y mejoran la calidad del sistema. También es necesario establecer procedimientos de corrección, porque los errores pueden propagarse cuando diferentes aplicaciones comparten información. El estudiante debe disponer de mecanismos para conocer y rectificar datos relevantes. Esta visión evita tratar la privacidad como una barrera posterior a la </w:t>
      </w:r>
      <w:r w:rsidRPr="009C6A73">
        <w:rPr>
          <w:lang w:val="es-MX"/>
        </w:rPr>
        <w:lastRenderedPageBreak/>
        <w:t>innovación. Por el contrario, la protección desde el diseño fortalece la confianza y reduce riesgos que podrían comprometer la continuidad del proyecto (UNESCO, 2021; Parlamento Europeo y Consejo de la Unión Europea, 2024).</w:t>
      </w:r>
    </w:p>
    <w:p w14:paraId="0E042B33" w14:textId="77777777" w:rsidR="009C6A73" w:rsidRDefault="009C6A73" w:rsidP="007D65A0">
      <w:pPr>
        <w:rPr>
          <w:lang w:val="es-MX"/>
        </w:rPr>
      </w:pPr>
      <w:r w:rsidRPr="009C6A73">
        <w:rPr>
          <w:lang w:val="es-MX"/>
        </w:rPr>
        <w:t>La interoperabilidad puede favorecer ecosistemas más flexibles si se implementa mediante estándares y principios de portabilidad. Una universidad excesivamente dependiente de un proveedor puede enfrentar dificultades para migrar datos, integrar servicios o adaptar funcionalidades. La evaluación contractual debe considerar no solo el precio inicial, sino la continuidad, la exportación de información, la documentación técnica y las condiciones de actualización. Las soluciones abiertas ofrecen oportunidades de adaptación y auditoría, aunque también requieren capacidades internas para su mantenimiento. No existe una opción universalmente superior. La decisión debe responder al contexto, los recursos y el nivel de riesgo. Lo esencial es conservar capacidad institucional para comprender el funcionamiento, evitar dependencias innecesarias y garantizar que la infraestructura sirva a los objetivos académicos en el largo plazo (OECD, 2023).</w:t>
      </w:r>
    </w:p>
    <w:p w14:paraId="21A4350F" w14:textId="33944888" w:rsidR="00F70BFF" w:rsidRPr="009C6A73" w:rsidRDefault="00F70BFF" w:rsidP="007D65A0">
      <w:pPr>
        <w:rPr>
          <w:lang w:val="es-MX"/>
        </w:rPr>
      </w:pPr>
      <w:r>
        <w:rPr>
          <w:noProof/>
          <w:lang w:val="es-MX"/>
        </w:rPr>
        <w:drawing>
          <wp:inline distT="0" distB="0" distL="0" distR="0" wp14:anchorId="5AAF5934" wp14:editId="13FE0AE4">
            <wp:extent cx="5399405" cy="3602990"/>
            <wp:effectExtent l="0" t="0" r="0" b="0"/>
            <wp:docPr id="175451239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9405" cy="3602990"/>
                    </a:xfrm>
                    <a:prstGeom prst="rect">
                      <a:avLst/>
                    </a:prstGeom>
                    <a:noFill/>
                    <a:ln>
                      <a:noFill/>
                    </a:ln>
                  </pic:spPr>
                </pic:pic>
              </a:graphicData>
            </a:graphic>
          </wp:inline>
        </w:drawing>
      </w:r>
    </w:p>
    <w:p w14:paraId="50FA01F1" w14:textId="77777777" w:rsidR="009C6A73" w:rsidRPr="009C6A73" w:rsidRDefault="009C6A73" w:rsidP="007D65A0">
      <w:pPr>
        <w:pStyle w:val="Ttulo3"/>
        <w:rPr>
          <w:lang w:val="es-MX"/>
        </w:rPr>
      </w:pPr>
      <w:bookmarkStart w:id="9" w:name="_Toc239440866"/>
      <w:r w:rsidRPr="009C6A73">
        <w:rPr>
          <w:lang w:val="es-MX"/>
        </w:rPr>
        <w:t>Liderazgo, cultura digital y aseguramiento de la calidad</w:t>
      </w:r>
      <w:bookmarkEnd w:id="9"/>
    </w:p>
    <w:p w14:paraId="22296028" w14:textId="77777777" w:rsidR="009C6A73" w:rsidRPr="009C6A73" w:rsidRDefault="009C6A73" w:rsidP="007D65A0">
      <w:pPr>
        <w:rPr>
          <w:lang w:val="es-MX"/>
        </w:rPr>
      </w:pPr>
      <w:r w:rsidRPr="009C6A73">
        <w:rPr>
          <w:lang w:val="es-MX"/>
        </w:rPr>
        <w:t xml:space="preserve">El liderazgo digital no se reduce a promover el uso de nuevas herramientas. Consiste en establecer prioridades, distribuir responsabilidades y crear condiciones para aprender de la experiencia. Las autoridades deben comunicar qué problemas se consideran estratégicos y cómo se relacionan con docencia, investigación y vinculación. También deben reconocer incertidumbres. En un campo que cambia con rapidez, prometer resultados definitivos puede debilitar la confianza. Un </w:t>
      </w:r>
      <w:r w:rsidRPr="009C6A73">
        <w:rPr>
          <w:lang w:val="es-MX"/>
        </w:rPr>
        <w:lastRenderedPageBreak/>
        <w:t>liderazgo responsable distingue exploración de implementación consolidada, limita los pilotos y publica criterios de evaluación. La transparencia sobre beneficios, costos y errores favorece una cultura en la que innovar incluye revisar decisiones. Esta cultura necesita espacios donde el profesorado y el estudiantado puedan plantear preocupaciones sin ser interpretados como opositores al cambio (UNESCO, 2021; Tabassi, 2023).</w:t>
      </w:r>
    </w:p>
    <w:p w14:paraId="285A9DB3" w14:textId="77777777" w:rsidR="009C6A73" w:rsidRPr="009C6A73" w:rsidRDefault="009C6A73" w:rsidP="007D65A0">
      <w:pPr>
        <w:rPr>
          <w:lang w:val="es-MX"/>
        </w:rPr>
      </w:pPr>
      <w:r w:rsidRPr="009C6A73">
        <w:rPr>
          <w:lang w:val="es-MX"/>
        </w:rPr>
        <w:t xml:space="preserve">La cultura digital se expresa en prácticas cotidianas. Incluye la manera en que se comparten materiales, se protegen datos, se documentan procesos y se resuelven problemas. Una institución puede disponer de tecnología avanzada y mantener una cultura fragmentada, con duplicación de esfuerzos y dependencia de soluciones personales. La transformación requiere comunidades de práctica, asesoría y repositorios de experiencias. Los resultados de un piloto deben conservarse y comunicarse para que otras unidades puedan aprender. La formación en inteligencia artificial debe vincularse con alfabetización informacional, ética, accesibilidad y diseño pedagógico. Si se concentra únicamente en el uso instrumental, las personas pueden aprender a producir resultados sin desarrollar criterios para evaluarlos. Los marcos de competencias de </w:t>
      </w:r>
      <w:proofErr w:type="gramStart"/>
      <w:r w:rsidRPr="009C6A73">
        <w:rPr>
          <w:lang w:val="es-MX"/>
        </w:rPr>
        <w:t>UNESCO</w:t>
      </w:r>
      <w:proofErr w:type="gramEnd"/>
      <w:r w:rsidRPr="009C6A73">
        <w:rPr>
          <w:lang w:val="es-MX"/>
        </w:rPr>
        <w:t xml:space="preserve"> proponen una progresión que integra comprensión, aplicación y creación desde una orientación centrada en las personas (UNESCO, 2024a; UNESCO, 2024b).</w:t>
      </w:r>
    </w:p>
    <w:p w14:paraId="37609439" w14:textId="77777777" w:rsidR="009C6A73" w:rsidRPr="009C6A73" w:rsidRDefault="009C6A73" w:rsidP="007D65A0">
      <w:pPr>
        <w:rPr>
          <w:lang w:val="es-MX"/>
        </w:rPr>
      </w:pPr>
      <w:r w:rsidRPr="009C6A73">
        <w:rPr>
          <w:lang w:val="es-MX"/>
        </w:rPr>
        <w:t>El aseguramiento de la calidad debe incorporar preguntas específicas sobre inteligencia artificial. No basta comprobar que una herramienta funciona técnicamente; es necesario evaluar si mejora el aprendizaje, reduce tiempos de manera legítima, amplía el acceso y mantiene estándares académicos. Los indicadores deben combinar datos cuantitativos con experiencias de usuarios. Una reducción en el tiempo de respuesta puede ser positiva, pero no si aumenta la frecuencia de información incorrecta. Del mismo modo, una mejora promedio puede ocultar resultados desiguales. La evaluación debe desagregar información, considerar efectos no previstos y revisar la proporcionalidad del uso. La calidad se fortalece cuando la institución puede demostrar por qué adopta un sistema, qué evidencia respalda la decisión y qué acciones tomará si los resultados no son satisfactorios (Bond et al., 2024; OECD, 2026).</w:t>
      </w:r>
    </w:p>
    <w:p w14:paraId="0F233164" w14:textId="77777777" w:rsidR="009C6A73" w:rsidRPr="009C6A73" w:rsidRDefault="009C6A73" w:rsidP="007D65A0">
      <w:pPr>
        <w:pStyle w:val="Ttulo3"/>
        <w:rPr>
          <w:lang w:val="es-MX"/>
        </w:rPr>
      </w:pPr>
      <w:bookmarkStart w:id="10" w:name="_Toc239440867"/>
      <w:r w:rsidRPr="009C6A73">
        <w:rPr>
          <w:lang w:val="es-MX"/>
        </w:rPr>
        <w:t>Preparación institucional y desarrollo de capacidades</w:t>
      </w:r>
      <w:bookmarkEnd w:id="10"/>
    </w:p>
    <w:p w14:paraId="542A8545" w14:textId="77777777" w:rsidR="009C6A73" w:rsidRPr="009C6A73" w:rsidRDefault="009C6A73" w:rsidP="007D65A0">
      <w:pPr>
        <w:rPr>
          <w:lang w:val="es-MX"/>
        </w:rPr>
      </w:pPr>
      <w:r w:rsidRPr="009C6A73">
        <w:rPr>
          <w:lang w:val="es-MX"/>
        </w:rPr>
        <w:t xml:space="preserve">La preparación institucional describe la capacidad de una universidad para adoptar inteligencia artificial de manera deliberada. Incluye infraestructura, datos, competencias, liderazgo, normas y mecanismos de evaluación. Estas dimensiones están relacionadas. Una institución puede tener conectividad y carecer de personal capaz de revisar un proveedor; puede disponer de especialistas técnicos y no contar con políticas de uso; puede aprobar una política sin ofrecer formación. Evaluar la preparación permite identificar estas brechas antes de ampliar la implementación. El diagnóstico debe diferenciar unidades y funciones, porque la madurez no es uniforme. Una facultad puede tener experiencia en analítica, mientras otra necesita fortalecer procesos básicos </w:t>
      </w:r>
      <w:r w:rsidRPr="009C6A73">
        <w:rPr>
          <w:lang w:val="es-MX"/>
        </w:rPr>
        <w:lastRenderedPageBreak/>
        <w:t>de digitalización. La estrategia debe establecer prioridades realistas y reconocer dependencias. No todas las aplicaciones requieren el mismo nivel de capacidad, pero las de mayor impacto necesitan controles más exigentes (Tabassi, 2023).</w:t>
      </w:r>
    </w:p>
    <w:p w14:paraId="7E478DE4" w14:textId="77777777" w:rsidR="009C6A73" w:rsidRPr="009C6A73" w:rsidRDefault="009C6A73" w:rsidP="007D65A0">
      <w:pPr>
        <w:rPr>
          <w:lang w:val="es-MX"/>
        </w:rPr>
      </w:pPr>
      <w:r w:rsidRPr="009C6A73">
        <w:rPr>
          <w:lang w:val="es-MX"/>
        </w:rPr>
        <w:t>El desarrollo de capacidades no puede depender exclusivamente de talleres ocasionales. Requiere una estructura de apoyo que acompañe decisiones reales. Los docentes necesitan asesoría para rediseñar actividades y evaluar resultados; los investigadores requieren orientación sobre confidencialidad, autoría y reproducibilidad; el personal administrativo debe comprender automatización y protección de datos. Los directivos necesitan criterios para gobernar riesgos y asignar recursos. La formación común crea un lenguaje compartido, mientras los itinerarios especializados responden a responsabilidades distintas. También resulta útil reconocer experiencias previas y promover mentorías. Las comunidades de práctica convierten aprendizajes individuales en conocimiento institucional. Este enfoque reduce la dependencia de proveedores como única fuente de capacitación y fortalece la capacidad crítica de la universidad (</w:t>
      </w:r>
      <w:proofErr w:type="spellStart"/>
      <w:r w:rsidRPr="009C6A73">
        <w:rPr>
          <w:lang w:val="es-MX"/>
        </w:rPr>
        <w:t>European</w:t>
      </w:r>
      <w:proofErr w:type="spellEnd"/>
      <w:r w:rsidRPr="009C6A73">
        <w:rPr>
          <w:lang w:val="es-MX"/>
        </w:rPr>
        <w:t xml:space="preserve"> </w:t>
      </w:r>
      <w:proofErr w:type="spellStart"/>
      <w:r w:rsidRPr="009C6A73">
        <w:rPr>
          <w:lang w:val="es-MX"/>
        </w:rPr>
        <w:t>Commission</w:t>
      </w:r>
      <w:proofErr w:type="spellEnd"/>
      <w:r w:rsidRPr="009C6A73">
        <w:rPr>
          <w:lang w:val="es-MX"/>
        </w:rPr>
        <w:t>, 2022; UNESCO, 2024a).</w:t>
      </w:r>
    </w:p>
    <w:p w14:paraId="1A1B5E43" w14:textId="77777777" w:rsidR="009C6A73" w:rsidRPr="009C6A73" w:rsidRDefault="009C6A73" w:rsidP="007D65A0">
      <w:pPr>
        <w:rPr>
          <w:lang w:val="es-MX"/>
        </w:rPr>
      </w:pPr>
      <w:r w:rsidRPr="009C6A73">
        <w:rPr>
          <w:lang w:val="es-MX"/>
        </w:rPr>
        <w:t>La preparación incluye mecanismos de experimentación segura. Los entornos de prueba permiten evaluar una herramienta con datos controlados y un grupo limitado antes de utilizarla en procesos sensibles. Un piloto debe tener objetivos, duración, responsables e indicadores definidos. También debe establecer criterios para detenerse. La experimentación sin límites puede convertirse en implementación de hecho, mientras la ausencia total de pruebas impide aprender. El equilibrio consiste en crear condiciones para explorar sin trasladar riesgos a estudiantes o trabajadores. Los resultados deben documentarse, incluidos los problemas y decisiones de no continuar. Esta información tiene valor porque evita repetir errores y permite comparar alternativas. La cultura de prueba debe estar vinculada con la gobernanza, no operar al margen de ella (OECD, 2023; Tabassi, 2023).</w:t>
      </w:r>
    </w:p>
    <w:p w14:paraId="26FC02B0" w14:textId="77777777" w:rsidR="009C6A73" w:rsidRPr="009C6A73" w:rsidRDefault="009C6A73" w:rsidP="007D65A0">
      <w:pPr>
        <w:rPr>
          <w:lang w:val="es-MX"/>
        </w:rPr>
      </w:pPr>
      <w:r w:rsidRPr="009C6A73">
        <w:rPr>
          <w:lang w:val="es-MX"/>
        </w:rPr>
        <w:t>La evaluación de preparación debe incorporar accesibilidad y equidad. Una institución no está preparada si puede desplegar una herramienta, pero no garantizar que todos los estudiantes accedan o comprendan cómo se utilizan sus datos. Las pruebas necesitan incluir diversidad de dispositivos, idiomas y necesidades. También deben estimar costos para usuarios, incluidos tiempo, datos móviles y aprendizaje de nuevas interfaces. Estas condiciones pueden determinar el éxito más que la potencia del modelo. La preparación responsable reconoce que las personas disponen de distintos recursos y evita transferirles costos ocultos. El apoyo técnico debe ser accesible y ofrecer respuesta oportuna. Cuando una tecnología se introduce sin soporte, quienes poseen mayor experiencia obtienen más beneficios y la innovación puede ampliar brechas (Miao &amp; Holmes, 2023).</w:t>
      </w:r>
    </w:p>
    <w:p w14:paraId="2CFFE551" w14:textId="77777777" w:rsidR="009C6A73" w:rsidRPr="009C6A73" w:rsidRDefault="009C6A73" w:rsidP="007D65A0">
      <w:pPr>
        <w:rPr>
          <w:lang w:val="es-MX"/>
        </w:rPr>
      </w:pPr>
      <w:r w:rsidRPr="009C6A73">
        <w:rPr>
          <w:lang w:val="es-MX"/>
        </w:rPr>
        <w:lastRenderedPageBreak/>
        <w:t>Finalmente, la preparación es dinámica. Una evaluación favorable no garantiza capacidad permanente, porque cambian herramientas, riesgos y personal. Las universidades deben revisar periódicamente sus competencias, contratos y políticas. Los incidentes constituyen fuentes de aprendizaje si se registran y analizan sin una cultura exclusivamente punitiva. La transparencia interna permite que distintas unidades conozcan problemas y soluciones. Además, la institución debe observar cambios regulatorios y evidencia científica. La actualización no significa modificar normas ante cada novedad, sino mantener principios estables y procedimientos capaces de adaptarse. Esta combinación de continuidad y flexibilidad es una característica de la madurez digital. La transformación universitaria necesita instituciones que aprendan, no solo instituciones que adquieran tecnología (UNESCO, 2021; OECD, 2026).</w:t>
      </w:r>
    </w:p>
    <w:p w14:paraId="700D23EC" w14:textId="547E23D9" w:rsidR="009C6A73" w:rsidRPr="009C6A73" w:rsidRDefault="009C6A73" w:rsidP="007D65A0">
      <w:pPr>
        <w:pStyle w:val="Ttulo2"/>
        <w:rPr>
          <w:lang w:val="es-MX"/>
        </w:rPr>
      </w:pPr>
      <w:bookmarkStart w:id="11" w:name="_Toc239440868"/>
      <w:r w:rsidRPr="009C6A73">
        <w:rPr>
          <w:lang w:val="es-MX"/>
        </w:rPr>
        <w:t>Nuevos ecosistemas de aprendizaje</w:t>
      </w:r>
      <w:bookmarkEnd w:id="11"/>
    </w:p>
    <w:p w14:paraId="43280A39" w14:textId="77777777" w:rsidR="009C6A73" w:rsidRPr="009C6A73" w:rsidRDefault="009C6A73" w:rsidP="007D65A0">
      <w:pPr>
        <w:pStyle w:val="Ttulo3"/>
        <w:rPr>
          <w:lang w:val="es-MX"/>
        </w:rPr>
      </w:pPr>
      <w:bookmarkStart w:id="12" w:name="_Toc239440869"/>
      <w:r w:rsidRPr="009C6A73">
        <w:rPr>
          <w:lang w:val="es-MX"/>
        </w:rPr>
        <w:t>Actores, plataformas y recursos interconectados</w:t>
      </w:r>
      <w:bookmarkEnd w:id="12"/>
    </w:p>
    <w:p w14:paraId="721CFF5A" w14:textId="77777777" w:rsidR="009C6A73" w:rsidRPr="009C6A73" w:rsidRDefault="009C6A73" w:rsidP="007D65A0">
      <w:pPr>
        <w:rPr>
          <w:lang w:val="es-MX"/>
        </w:rPr>
      </w:pPr>
      <w:r w:rsidRPr="009C6A73">
        <w:rPr>
          <w:lang w:val="es-MX"/>
        </w:rPr>
        <w:t>Un ecosistema de aprendizaje está constituido por actores, recursos, normas y tecnologías que interactúan. En la universidad participan estudiantes, docentes, bibliotecarios, tutores, investigadores, equipos técnicos, autoridades y organizaciones externas. Cada actor aporta capacidades y mantiene responsabilidades diferentes. La inteligencia artificial introduce nuevos intermediarios, como proveedores de modelos, plataformas de datos y servicios de automatización. Esta ampliación vuelve insuficiente analizar una herramienta de manera aislada. Una recomendación generada en el aula puede depender de datos almacenados por otro sistema y de reglas establecidas por un tercero. Comprender el ecosistema permite identificar relaciones de dependencia, flujos de información y puntos de responsabilidad. También ayuda a reconocer que una innovación local puede producir consecuencias en evaluación, soporte, propiedad intelectual o protección de datos. El diseño debe considerar el conjunto y no solo la interfaz visible para el usuario (OECD, 2023; Tabassi, 2023).</w:t>
      </w:r>
    </w:p>
    <w:p w14:paraId="5D7D06F2" w14:textId="77777777" w:rsidR="009C6A73" w:rsidRPr="009C6A73" w:rsidRDefault="009C6A73" w:rsidP="007D65A0">
      <w:pPr>
        <w:rPr>
          <w:lang w:val="es-MX"/>
        </w:rPr>
      </w:pPr>
      <w:r w:rsidRPr="009C6A73">
        <w:rPr>
          <w:lang w:val="es-MX"/>
        </w:rPr>
        <w:t>Las plataformas organizan oportunidades de participación, pero también establecen límites. Sus configuraciones determinan qué actividades se registran, qué recursos aparecen primero y qué formas de interacción resultan más sencillas. Cuando incorporan inteligencia artificial, estas decisiones pueden volverse menos visibles. Un sistema de recomendación selecciona materiales a partir de criterios que el estudiante quizá desconoce. Si la personalización reduce demasiado la diversidad de contenidos, puede limitar el encuentro con perspectivas inesperadas. Por ello, el ecosistema debe preservar espacios de exploración y elección. Las recomendaciones pueden presentarse como opciones explicadas, no como rutas obligatorias. El docente conserva una función esencial al contextualizar los recursos y promover conexiones entre experiencias. La personalización educativa debe ampliar posibilidades, no encerrar al estudiante dentro de un perfil calculado a partir de su comportamiento pasado (Miao &amp; Holmes, 2023).</w:t>
      </w:r>
    </w:p>
    <w:p w14:paraId="01C4CFFD" w14:textId="77777777" w:rsidR="002768FE" w:rsidRDefault="009C6A73" w:rsidP="007D65A0">
      <w:pPr>
        <w:rPr>
          <w:lang w:val="es-MX"/>
        </w:rPr>
      </w:pPr>
      <w:r w:rsidRPr="009C6A73">
        <w:rPr>
          <w:lang w:val="es-MX"/>
        </w:rPr>
        <w:lastRenderedPageBreak/>
        <w:t>Los recursos de aprendizaje ya no se limitan a materiales producidos antes del curso. Los sistemas generativos permiten crear ejemplos, simulaciones y explicaciones durante la interacción. Esta capacidad vuelve más dinámico el ecosistema, pero plantea un desafío de trazabilidad. El estudiante necesita distinguir entre una fuente publicada, una síntesis automática y una propuesta que todavía requiere verificación. Las plataformas deberían comunicar el origen del contenido y facilitar el acceso a documentos de respaldo. El profesorado puede diseñar tareas que exijan comparar lo generado con fuentes académicas. De esta forma, el ecosistema integra producción rápida con criterios de validación. La abundancia de contenido no debe confundirse con diversidad epistémica, porque diferentes respuestas pueden derivar de modelos entrenados con corpus semejantes. La curaduría humana continúa siendo necesaria para garantizar pluralidad y pertinencia (UNESCO IESALC, 2023; UNESCO, 2021).</w:t>
      </w:r>
    </w:p>
    <w:p w14:paraId="76A7689B" w14:textId="77777777" w:rsidR="009C6A73" w:rsidRPr="009C6A73" w:rsidRDefault="009C6A73" w:rsidP="007D65A0">
      <w:pPr>
        <w:pStyle w:val="Ttulo3"/>
        <w:rPr>
          <w:lang w:val="es-MX"/>
        </w:rPr>
      </w:pPr>
      <w:bookmarkStart w:id="13" w:name="_Toc239440870"/>
      <w:r w:rsidRPr="009C6A73">
        <w:rPr>
          <w:lang w:val="es-MX"/>
        </w:rPr>
        <w:t>Personalización, colaboración y agencia humana</w:t>
      </w:r>
      <w:bookmarkEnd w:id="13"/>
    </w:p>
    <w:p w14:paraId="0F650B5B" w14:textId="77777777" w:rsidR="009C6A73" w:rsidRPr="009C6A73" w:rsidRDefault="009C6A73" w:rsidP="007D65A0">
      <w:pPr>
        <w:rPr>
          <w:lang w:val="es-MX"/>
        </w:rPr>
      </w:pPr>
      <w:r w:rsidRPr="009C6A73">
        <w:rPr>
          <w:lang w:val="es-MX"/>
        </w:rPr>
        <w:t>La personalización constituye uno de los atributos más citados de la inteligencia artificial educativa. Puede ajustar ritmo, dificultad, modalidad de presentación y secuencia de recursos. Sin embargo, existen distintas concepciones de personalizar. Una visión estrecha busca adaptar al estudiante a un itinerario predeterminado; una visión más amplia le permite comprender sus metas, elegir estrategias y participar en la configuración de su aprendizaje. La segunda orientación fortalece la agencia. El sistema ofrece información y opciones, pero la persona conserva capacidad de decisión. Para lograrlo, las recomendaciones deben ser comprensibles y modificables. Los estudiantes necesitan saber por qué reciben una sugerencia y qué alternativas existen. La personalización no debe convertir las predicciones en destinos. Un desempeño anterior puede orientar apoyo, pero no determinar las oportunidades futuras (Crompton &amp; Burke, 2023; Miao &amp; Holmes, 2023).</w:t>
      </w:r>
    </w:p>
    <w:p w14:paraId="32715E14" w14:textId="77777777" w:rsidR="009C6A73" w:rsidRPr="009C6A73" w:rsidRDefault="009C6A73" w:rsidP="007D65A0">
      <w:pPr>
        <w:rPr>
          <w:lang w:val="es-MX"/>
        </w:rPr>
      </w:pPr>
      <w:r w:rsidRPr="009C6A73">
        <w:rPr>
          <w:lang w:val="es-MX"/>
        </w:rPr>
        <w:t xml:space="preserve">La colaboración también puede enriquecerse mediante inteligencia artificial. Un sistema puede ayudar a formar grupos, identificar temas de discusión </w:t>
      </w:r>
      <w:proofErr w:type="spellStart"/>
      <w:r w:rsidRPr="009C6A73">
        <w:rPr>
          <w:lang w:val="es-MX"/>
        </w:rPr>
        <w:t>o</w:t>
      </w:r>
      <w:proofErr w:type="spellEnd"/>
      <w:r w:rsidRPr="009C6A73">
        <w:rPr>
          <w:lang w:val="es-MX"/>
        </w:rPr>
        <w:t xml:space="preserve"> ofrecer retroalimentación sobre la participación. No obstante, el aprendizaje colaborativo incluye negociación, escucha, conflicto productivo y construcción de confianza, dimensiones que no se reducen a distribuir tareas. Existe el riesgo de que la automatización fragmente el trabajo y asigne a cada participante una función sin promover comprensión compartida. El diseño debe asegurar momentos de deliberación y responsabilidad conjunta. La inteligencia artificial puede apoyar la coordinación, pero no debería reemplazar la interacción entre personas. La evaluación puede valorar tanto el producto como la explicación del proceso colaborativo. Esta perspectiva sitúa la tecnología como mediadora y conserva el carácter social del aprendizaje universitario (OECD, 2026).</w:t>
      </w:r>
    </w:p>
    <w:p w14:paraId="4232EBB3" w14:textId="77777777" w:rsidR="009C6A73" w:rsidRPr="009C6A73" w:rsidRDefault="009C6A73" w:rsidP="007D65A0">
      <w:pPr>
        <w:rPr>
          <w:lang w:val="es-MX"/>
        </w:rPr>
      </w:pPr>
      <w:r w:rsidRPr="009C6A73">
        <w:rPr>
          <w:lang w:val="es-MX"/>
        </w:rPr>
        <w:t xml:space="preserve">La agencia humana requiere posibilidad real de intervenir. </w:t>
      </w:r>
      <w:proofErr w:type="gramStart"/>
      <w:r w:rsidRPr="009C6A73">
        <w:rPr>
          <w:lang w:val="es-MX"/>
        </w:rPr>
        <w:t>Informar</w:t>
      </w:r>
      <w:proofErr w:type="gramEnd"/>
      <w:r w:rsidRPr="009C6A73">
        <w:rPr>
          <w:lang w:val="es-MX"/>
        </w:rPr>
        <w:t xml:space="preserve"> que existe supervisión no es suficiente si docentes y estudiantes carecen de autoridad para corregir o rechazar una salida. Un </w:t>
      </w:r>
      <w:r w:rsidRPr="009C6A73">
        <w:rPr>
          <w:lang w:val="es-MX"/>
        </w:rPr>
        <w:lastRenderedPageBreak/>
        <w:t>ecosistema responsable define quién toma la decisión final y cómo se documenta una discrepancia. También protege la opción de aprender sin determinadas herramientas cuando su uso no es esencial. La agencia se fortalece mediante alfabetización algorítmica, porque permite comprender que los resultados dependen de datos, objetivos y supuestos. Esta comprensión reduce la tendencia a aceptar recomendaciones como neutrales. La universidad tiene la responsabilidad de formar usuarios capaces de interactuar críticamente con sistemas automatizados y profesionales capaces de diseñarlos o gobernarlos. La relación entre personas e inteligencia artificial debe organizarse alrededor de fines educativos explícitos y derechos protegidos (UNESCO, 2021; UNESCO, 2024b).</w:t>
      </w:r>
    </w:p>
    <w:p w14:paraId="368901FA" w14:textId="77777777" w:rsidR="009C6A73" w:rsidRPr="009C6A73" w:rsidRDefault="009C6A73" w:rsidP="007D65A0">
      <w:pPr>
        <w:pStyle w:val="Ttulo3"/>
        <w:rPr>
          <w:lang w:val="es-MX"/>
        </w:rPr>
      </w:pPr>
      <w:bookmarkStart w:id="14" w:name="_Toc239440871"/>
      <w:r w:rsidRPr="009C6A73">
        <w:rPr>
          <w:lang w:val="es-MX"/>
        </w:rPr>
        <w:t>Ecosistemas híbridos, abiertos e inclusivos</w:t>
      </w:r>
      <w:bookmarkEnd w:id="14"/>
    </w:p>
    <w:p w14:paraId="411DA664" w14:textId="77777777" w:rsidR="009C6A73" w:rsidRPr="009C6A73" w:rsidRDefault="009C6A73" w:rsidP="00C3023B">
      <w:pPr>
        <w:rPr>
          <w:lang w:val="es-MX"/>
        </w:rPr>
      </w:pPr>
      <w:r w:rsidRPr="009C6A73">
        <w:rPr>
          <w:lang w:val="es-MX"/>
        </w:rPr>
        <w:t>Los ecosistemas universitarios contemporáneos combinan espacios presenciales, virtuales y comunitarios. La inteligencia artificial puede conectar estas dimensiones mediante recursos accesibles en distintos momentos y formatos. Un estudiante puede recibir orientación antes de una clase, participar en una simulación durante la sesión y revisar retroalimentación después. El valor no reside en aumentar permanentemente el tiempo de conexión, sino en articular experiencias. La presencialidad aporta interacción situada; el entorno virtual ofrece flexibilidad; las prácticas comunitarias vinculan el conocimiento con problemas reales. El diseño híbrido debe evitar que cada espacio funcione como un componente separado. Los objetivos, actividades y evidencias de aprendizaje necesitan continuidad. La tecnología es útil cuando facilita esta articulación y no cuando multiplica plataformas sin un propósito comprensible (OECD, 2023).</w:t>
      </w:r>
    </w:p>
    <w:p w14:paraId="29852A9D" w14:textId="77777777" w:rsidR="009C6A73" w:rsidRPr="009C6A73" w:rsidRDefault="009C6A73" w:rsidP="00C3023B">
      <w:pPr>
        <w:rPr>
          <w:lang w:val="es-MX"/>
        </w:rPr>
      </w:pPr>
      <w:r w:rsidRPr="009C6A73">
        <w:rPr>
          <w:lang w:val="es-MX"/>
        </w:rPr>
        <w:t>La apertura puede expresarse en recursos educativos, estándares interoperables, investigación compartida y modelos que permiten adaptación. Estas prácticas reducen algunas barreras y favorecen que instituciones con capacidades diversas colaboren. Sin embargo, abierto no significa automáticamente accesible o equitativo. Un recurso sin costo puede exigir conectividad, competencias o equipos que no todas las personas poseen. Un modelo disponible públicamente puede requerir infraestructura costosa. La evaluación debe considerar las condiciones reales de uso. Las universidades pueden crear repositorios, compartir orientaciones y desarrollar alianzas para distribuir capacidades. También deben reconocer conocimientos locales y lenguas subrepresentadas. Un ecosistema abierto adquiere valor educativo cuando amplía la posibilidad de participar, adaptar y contribuir, no solo cuando permite descargar un archivo o acceder a un código (UNESCO, 2021; Miao &amp; Holmes, 2023).</w:t>
      </w:r>
    </w:p>
    <w:p w14:paraId="74C08C2B" w14:textId="77777777" w:rsidR="009C6A73" w:rsidRDefault="009C6A73" w:rsidP="00C3023B">
      <w:pPr>
        <w:rPr>
          <w:lang w:val="es-MX"/>
        </w:rPr>
      </w:pPr>
      <w:r w:rsidRPr="009C6A73">
        <w:rPr>
          <w:lang w:val="es-MX"/>
        </w:rPr>
        <w:t xml:space="preserve">La inclusión requiere diseñar desde la diversidad. Las plataformas deben funcionar con tecnologías de apoyo, ofrecer formatos alternativos y emplear lenguaje comprensible. Los modelos deben evaluarse en diferentes grupos y contextos. Un promedio de desempeño puede ocultar errores que afectan de manera sistemática a determinadas poblaciones. La participación </w:t>
      </w:r>
      <w:r w:rsidRPr="009C6A73">
        <w:rPr>
          <w:lang w:val="es-MX"/>
        </w:rPr>
        <w:lastRenderedPageBreak/>
        <w:t>de estudiantes con discapacidad, comunidades lingüísticas diversas y personas con conectividad limitada permite identificar barreras que un equipo homogéneo podría no advertir. La inclusión también implica alternativas y mecanismos de reparación. Cuando una herramienta falla, el estudiante debe disponer de otra vía para realizar la actividad sin penalización. El ecosistema se vuelve resiliente cuando no depende de un único canal y puede responder a situaciones diversas. La accesibilidad y la equidad son criterios de calidad, no complementos posteriores a la innovación (</w:t>
      </w:r>
      <w:proofErr w:type="spellStart"/>
      <w:r w:rsidRPr="009C6A73">
        <w:rPr>
          <w:lang w:val="es-MX"/>
        </w:rPr>
        <w:t>European</w:t>
      </w:r>
      <w:proofErr w:type="spellEnd"/>
      <w:r w:rsidRPr="009C6A73">
        <w:rPr>
          <w:lang w:val="es-MX"/>
        </w:rPr>
        <w:t xml:space="preserve"> </w:t>
      </w:r>
      <w:proofErr w:type="spellStart"/>
      <w:r w:rsidRPr="009C6A73">
        <w:rPr>
          <w:lang w:val="es-MX"/>
        </w:rPr>
        <w:t>Commission</w:t>
      </w:r>
      <w:proofErr w:type="spellEnd"/>
      <w:r w:rsidRPr="009C6A73">
        <w:rPr>
          <w:lang w:val="es-MX"/>
        </w:rPr>
        <w:t>, 2022; UNESCO, 2021).</w:t>
      </w:r>
    </w:p>
    <w:p w14:paraId="0F56B789" w14:textId="695ACF24" w:rsidR="00483B84" w:rsidRPr="009C6A73" w:rsidRDefault="00065BDA" w:rsidP="00C3023B">
      <w:pPr>
        <w:rPr>
          <w:lang w:val="es-MX"/>
        </w:rPr>
      </w:pPr>
      <w:r>
        <w:rPr>
          <w:noProof/>
          <w:lang w:val="es-MX"/>
        </w:rPr>
        <w:drawing>
          <wp:inline distT="0" distB="0" distL="0" distR="0" wp14:anchorId="6D52208A" wp14:editId="5BF01189">
            <wp:extent cx="5268685" cy="3515761"/>
            <wp:effectExtent l="0" t="0" r="8255" b="8890"/>
            <wp:docPr id="41884608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9286" cy="3516162"/>
                    </a:xfrm>
                    <a:prstGeom prst="rect">
                      <a:avLst/>
                    </a:prstGeom>
                    <a:noFill/>
                    <a:ln>
                      <a:noFill/>
                    </a:ln>
                  </pic:spPr>
                </pic:pic>
              </a:graphicData>
            </a:graphic>
          </wp:inline>
        </w:drawing>
      </w:r>
    </w:p>
    <w:p w14:paraId="19CE443C" w14:textId="77777777" w:rsidR="009C6A73" w:rsidRPr="009C6A73" w:rsidRDefault="009C6A73" w:rsidP="007D65A0">
      <w:pPr>
        <w:pStyle w:val="Ttulo3"/>
        <w:rPr>
          <w:lang w:val="es-MX"/>
        </w:rPr>
      </w:pPr>
      <w:bookmarkStart w:id="15" w:name="_Toc239440872"/>
      <w:r w:rsidRPr="009C6A73">
        <w:rPr>
          <w:lang w:val="es-MX"/>
        </w:rPr>
        <w:t>La ecología humana del aprendizaje mediado por inteligencia artificial</w:t>
      </w:r>
      <w:bookmarkEnd w:id="15"/>
    </w:p>
    <w:p w14:paraId="191C79F5" w14:textId="77777777" w:rsidR="009C6A73" w:rsidRPr="009C6A73" w:rsidRDefault="009C6A73" w:rsidP="00C3023B">
      <w:pPr>
        <w:rPr>
          <w:lang w:val="es-MX"/>
        </w:rPr>
      </w:pPr>
      <w:r w:rsidRPr="009C6A73">
        <w:rPr>
          <w:lang w:val="es-MX"/>
        </w:rPr>
        <w:t>Hablar de ecosistema implica reconocer que el aprendizaje depende de relaciones. La calidad de la interacción con docentes, compañeros y comunidades influye en la motivación, la identidad académica y el sentido de pertenencia. La inteligencia artificial puede apoyar estas relaciones mediante orientación y acceso a recursos, pero también puede desplazar oportunidades de encuentro si se utiliza como sustituto general. Una respuesta disponible a cualquier hora no reemplaza la capacidad de una persona para comprender el contexto y acompañar incertidumbres. El diseño del ecosistema debe decidir qué interacciones conviene automatizar y cuáles requieren presencia humana. Automatizar tareas repetitivas puede liberar tiempo, siempre que ese tiempo se reinvierta en acompañamiento y no se transforme únicamente en aumento de carga (OECD, 2026).</w:t>
      </w:r>
    </w:p>
    <w:p w14:paraId="747F5C68" w14:textId="77777777" w:rsidR="009C6A73" w:rsidRPr="009C6A73" w:rsidRDefault="009C6A73" w:rsidP="00C3023B">
      <w:pPr>
        <w:rPr>
          <w:lang w:val="es-MX"/>
        </w:rPr>
      </w:pPr>
      <w:r w:rsidRPr="009C6A73">
        <w:rPr>
          <w:lang w:val="es-MX"/>
        </w:rPr>
        <w:t xml:space="preserve">La confianza es un componente esencial de esta ecología. Los estudiantes necesitan saber cuándo interactúan con un sistema, qué puede hacer y qué ocurre con la información compartida. La </w:t>
      </w:r>
      <w:r w:rsidRPr="009C6A73">
        <w:rPr>
          <w:lang w:val="es-MX"/>
        </w:rPr>
        <w:lastRenderedPageBreak/>
        <w:t>simulación de rasgos humanos puede facilitar la conversación, pero no debe inducir a creer que existe comprensión emocional equivalente. Las interfaces deben comunicar límites y ofrecer acceso sencillo a personal responsable. La confianza no consiste en asumir que la tecnología siempre funciona, sino en conocer los mecanismos para verificar y corregir. Una institución confiable reconoce errores, explica decisiones y protege a quienes reportan problemas. Estas prácticas son especialmente importantes cuando los sistemas intervienen en tutoría, bienestar o evaluación (UNESCO, 2021; Tabassi, 2023).</w:t>
      </w:r>
    </w:p>
    <w:p w14:paraId="5508E8A8" w14:textId="77777777" w:rsidR="009C6A73" w:rsidRPr="009C6A73" w:rsidRDefault="009C6A73" w:rsidP="00C3023B">
      <w:pPr>
        <w:rPr>
          <w:lang w:val="es-MX"/>
        </w:rPr>
      </w:pPr>
      <w:r w:rsidRPr="009C6A73">
        <w:rPr>
          <w:lang w:val="es-MX"/>
        </w:rPr>
        <w:t>La atención constituye otro recurso del ecosistema. Las plataformas compiten por mantener interacción y pueden aumentar notificaciones, recomendaciones y estímulos. Una universidad no debería medir el éxito únicamente por el tiempo conectado. El aprendizaje requiere concentración, pausa y elaboración. Las herramientas de inteligencia artificial pueden reducir carga informativa mediante síntesis, pero también producir un flujo continuo de contenido. El diseño pedagógico debe establecer momentos de lectura profunda, conversación y trabajo sin asistencia. Estas decisiones ayudan a conservar autonomía y evitan que la eficiencia se convierta en aceleración permanente. Un ecosistema saludable organiza ritmos compatibles con la reflexión y reconoce que no toda demora es una ineficiencia (OECD, 2026).</w:t>
      </w:r>
    </w:p>
    <w:p w14:paraId="51D25E01" w14:textId="77777777" w:rsidR="009C6A73" w:rsidRPr="009C6A73" w:rsidRDefault="009C6A73" w:rsidP="00C3023B">
      <w:pPr>
        <w:rPr>
          <w:lang w:val="es-MX"/>
        </w:rPr>
      </w:pPr>
      <w:r w:rsidRPr="009C6A73">
        <w:rPr>
          <w:lang w:val="es-MX"/>
        </w:rPr>
        <w:t>La relación entre ayuda y desafío necesita equilibrio. Si una tarea supera completamente las posibilidades del estudiante, la asistencia puede permitir avanzar. Si la herramienta elimina todo esfuerzo, reduce oportunidades de aprendizaje. Los sistemas deberían graduar el apoyo y promover que el estudiante explique sus decisiones. La retirada progresiva de ayudas permite comprobar autonomía. Este principio es relevante tanto para tutores inteligentes como para asistentes generativos de propósito general. El docente puede definir fases en las que se permite explorar con la herramienta y fases en las que se solicita desempeño independiente. La comparación entre ambas ofrece evidencia sobre lo aprendido. La inteligencia artificial aporta valor cuando amplía la capacidad de enfrentar problemas, no cuando crea dependencia para resolver cualquier dificultad (Miao &amp; Holmes, 2023).</w:t>
      </w:r>
    </w:p>
    <w:p w14:paraId="0E6D3890" w14:textId="77777777" w:rsidR="009C6A73" w:rsidRPr="009C6A73" w:rsidRDefault="009C6A73" w:rsidP="00C3023B">
      <w:pPr>
        <w:rPr>
          <w:lang w:val="es-MX"/>
        </w:rPr>
      </w:pPr>
      <w:r w:rsidRPr="009C6A73">
        <w:rPr>
          <w:lang w:val="es-MX"/>
        </w:rPr>
        <w:t>La ecología humana también incluye bienestar y carga laboral. Introducir herramientas puede reducir ciertas tareas y crear otras, como revisar resultados, configurar sistemas y atender incidentes. La evaluación debe observar esta redistribución. Una solución que ahorra tiempo administrativo pero aumenta la carga docente puede no representar una mejora institucional. Del mismo modo, exigir a los estudiantes documentar cada interacción puede volverse excesivo. Las políticas deben buscar proporcionalidad y simplificar procedimientos. Escuchar la experiencia de usuarios permite identificar efectos que no aparecen en indicadores técnicos. La sostenibilidad de un ecosistema depende de que las personas puedan mantener sus prácticas sin agotamiento y con sentido de control (</w:t>
      </w:r>
      <w:proofErr w:type="spellStart"/>
      <w:r w:rsidRPr="009C6A73">
        <w:rPr>
          <w:lang w:val="es-MX"/>
        </w:rPr>
        <w:t>European</w:t>
      </w:r>
      <w:proofErr w:type="spellEnd"/>
      <w:r w:rsidRPr="009C6A73">
        <w:rPr>
          <w:lang w:val="es-MX"/>
        </w:rPr>
        <w:t xml:space="preserve"> </w:t>
      </w:r>
      <w:proofErr w:type="spellStart"/>
      <w:r w:rsidRPr="009C6A73">
        <w:rPr>
          <w:lang w:val="es-MX"/>
        </w:rPr>
        <w:t>Commission</w:t>
      </w:r>
      <w:proofErr w:type="spellEnd"/>
      <w:r w:rsidRPr="009C6A73">
        <w:rPr>
          <w:lang w:val="es-MX"/>
        </w:rPr>
        <w:t>, 2022; OECD, 2023).</w:t>
      </w:r>
    </w:p>
    <w:p w14:paraId="0F1FAAE2" w14:textId="18BCA768" w:rsidR="009C6A73" w:rsidRPr="009C6A73" w:rsidRDefault="009C6A73" w:rsidP="00C3023B">
      <w:pPr>
        <w:pStyle w:val="Ttulo2"/>
        <w:rPr>
          <w:lang w:val="es-MX"/>
        </w:rPr>
      </w:pPr>
      <w:bookmarkStart w:id="16" w:name="_Toc239440873"/>
      <w:r w:rsidRPr="009C6A73">
        <w:rPr>
          <w:lang w:val="es-MX"/>
        </w:rPr>
        <w:lastRenderedPageBreak/>
        <w:t>Tendencias y escenarios emergentes</w:t>
      </w:r>
      <w:bookmarkEnd w:id="16"/>
    </w:p>
    <w:p w14:paraId="4CEB46EA" w14:textId="77777777" w:rsidR="009C6A73" w:rsidRPr="009C6A73" w:rsidRDefault="009C6A73" w:rsidP="00C3023B">
      <w:pPr>
        <w:pStyle w:val="Ttulo3"/>
        <w:rPr>
          <w:lang w:val="es-MX"/>
        </w:rPr>
      </w:pPr>
      <w:bookmarkStart w:id="17" w:name="_Toc239440874"/>
      <w:r w:rsidRPr="009C6A73">
        <w:rPr>
          <w:lang w:val="es-MX"/>
        </w:rPr>
        <w:t>Multimodalidad y sistemas con capacidad de acción</w:t>
      </w:r>
      <w:bookmarkEnd w:id="17"/>
    </w:p>
    <w:p w14:paraId="790C5C4A" w14:textId="77777777" w:rsidR="009C6A73" w:rsidRPr="009C6A73" w:rsidRDefault="009C6A73" w:rsidP="00B864DF">
      <w:pPr>
        <w:rPr>
          <w:lang w:val="es-MX"/>
        </w:rPr>
      </w:pPr>
      <w:r w:rsidRPr="009C6A73">
        <w:rPr>
          <w:lang w:val="es-MX"/>
        </w:rPr>
        <w:t>Una tendencia emergente es la integración de texto, imagen, audio, video y datos de sensores dentro de un mismo sistema. La multimodalidad puede enriquecer la enseñanza mediante representaciones complementarias y facilitar interacciones para personas con distintas preferencias o necesidades. En medicina, ingeniería o artes, los estudiantes pueden analizar imágenes, describir procesos y recibir comentarios sobre múltiples tipos de evidencia. Sin embargo, cada modalidad incorpora riesgos específicos. Una transcripción puede omitir matices, una descripción visual puede contener errores y una interpretación emocional puede atribuir estados internos sin fundamento suficiente. La combinación de modalidades no elimina estas limitaciones, sino que puede amplificarlas si el sistema integra señales defectuosas. La adopción universitaria debe definir qué inferencias son aceptables y cuáles resultan excesivamente invasivas. La utilidad pedagógica debe demostrarse sin convertir el aula en un espacio de vigilancia permanente (UNESCO, 2021; Tabassi, 2023).</w:t>
      </w:r>
    </w:p>
    <w:p w14:paraId="6A3D888D" w14:textId="77777777" w:rsidR="009C6A73" w:rsidRPr="009C6A73" w:rsidRDefault="009C6A73" w:rsidP="00B864DF">
      <w:pPr>
        <w:rPr>
          <w:lang w:val="es-MX"/>
        </w:rPr>
      </w:pPr>
      <w:r w:rsidRPr="009C6A73">
        <w:rPr>
          <w:lang w:val="es-MX"/>
        </w:rPr>
        <w:t>Los sistemas con capacidad de acción representan otra evolución relevante. A diferencia de un asistente que responde a una pregunta, un agente puede planificar pasos, utilizar herramientas y ejecutar tareas. En la universidad podría organizar recursos, programar recordatorios o apoyar procesos administrativos. Esta autonomía funcional aumenta la eficiencia potencial, pero también la superficie de riesgo. Un error puede propagarse a través de varias acciones antes de ser detectado. Por ello, los permisos deben limitarse según la función, y las operaciones sensibles requieren confirmación humana. La institución necesita registros que permitan reconstruir qué hizo el sistema y con qué información. La supervisión debe diseñarse antes de la implementación. No resulta suficiente revisar ocasionalmente el resultado final cuando el agente puede modificar datos o comunicarse con otras plataformas (Tabassi, 2023; OECD, 2026).</w:t>
      </w:r>
    </w:p>
    <w:p w14:paraId="55AC8B39" w14:textId="77777777" w:rsidR="009C6A73" w:rsidRPr="009C6A73" w:rsidRDefault="009C6A73" w:rsidP="00B864DF">
      <w:pPr>
        <w:rPr>
          <w:lang w:val="es-MX"/>
        </w:rPr>
      </w:pPr>
      <w:r w:rsidRPr="009C6A73">
        <w:rPr>
          <w:lang w:val="es-MX"/>
        </w:rPr>
        <w:t>La convergencia entre multimodalidad y agentes puede producir entornos capaces de observar, interpretar y actuar. En educación, esta posibilidad genera entusiasmo por laboratorios inteligentes y tutores más sensibles al contexto. También exige prudencia. La observación constante puede afectar la libertad académica y modificar el comportamiento de quienes saben que están siendo analizados. Las universidades deben aplicar principios de necesidad y proporcionalidad. No toda información técnicamente disponible debe recogerse, ni toda predicción posible debe utilizarse. Los proyectos de mayor impacto requieren evaluación ética, participación de la comunidad y pruebas controladas. La innovación responsable reconoce que algunas aplicaciones deben limitarse o rechazarse. El criterio principal es si el sistema contribuye a un objetivo legítimo con riesgos que puedan comprenderse y gestionarse (UNESCO, 2021; Parlamento Europeo y Consejo de la Unión Europea, 2024).</w:t>
      </w:r>
    </w:p>
    <w:p w14:paraId="5765E92A" w14:textId="77777777" w:rsidR="009C6A73" w:rsidRPr="009C6A73" w:rsidRDefault="009C6A73" w:rsidP="00C3023B">
      <w:pPr>
        <w:pStyle w:val="Ttulo3"/>
        <w:rPr>
          <w:lang w:val="es-MX"/>
        </w:rPr>
      </w:pPr>
      <w:bookmarkStart w:id="18" w:name="_Toc239440875"/>
      <w:r w:rsidRPr="009C6A73">
        <w:rPr>
          <w:lang w:val="es-MX"/>
        </w:rPr>
        <w:lastRenderedPageBreak/>
        <w:t>Transformación de la evaluación y nuevas evidencias de aprendizaje</w:t>
      </w:r>
      <w:bookmarkEnd w:id="18"/>
    </w:p>
    <w:p w14:paraId="7BAED9D4" w14:textId="77777777" w:rsidR="009C6A73" w:rsidRPr="009C6A73" w:rsidRDefault="009C6A73" w:rsidP="00B864DF">
      <w:pPr>
        <w:rPr>
          <w:lang w:val="es-MX"/>
        </w:rPr>
      </w:pPr>
      <w:r w:rsidRPr="009C6A73">
        <w:rPr>
          <w:lang w:val="es-MX"/>
        </w:rPr>
        <w:t>La disponibilidad de generación automática impulsa una transición desde evaluaciones centradas exclusivamente en productos hacia diseños que recogen múltiples evidencias. Un ensayo continúa siendo valioso, pero puede complementarse con propuestas iniciales, selección de fuentes, comentarios de revisión y defensa oral. Esta combinación permite observar cómo el estudiante construye y modifica su argumento. Las tareas auténticas, vinculadas con problemas situados, también reducen la utilidad de respuestas genéricas. No se trata de diseñar actividades imposibles para la inteligencia artificial, porque esa meta cambia con la tecnología. El propósito es crear evaluaciones que representen competencias relevantes y permitan distinguir la contribución humana. La transparencia sobre herramientas utilizadas forma parte de la evidencia, siempre que las reglas sean claras y coherentes con los objetivos del curso (UNESCO IESALC, 2023; OECD, 2026).</w:t>
      </w:r>
    </w:p>
    <w:p w14:paraId="7DE79798" w14:textId="77777777" w:rsidR="009C6A73" w:rsidRPr="009C6A73" w:rsidRDefault="009C6A73" w:rsidP="00B864DF">
      <w:pPr>
        <w:rPr>
          <w:lang w:val="es-MX"/>
        </w:rPr>
      </w:pPr>
      <w:r w:rsidRPr="009C6A73">
        <w:rPr>
          <w:lang w:val="es-MX"/>
        </w:rPr>
        <w:t>La retroalimentación automatizada puede ofrecer rapidez y escala, pero necesita criterios de calidad. Un comentario inmediato que se limita a la forma puede desviar la atención de problemas conceptuales. El sistema debe utilizarse para tareas en las que su desempeño haya sido evaluado y sus límites sean conocidos. El docente conserva la responsabilidad de interpretar patrones, atender excepciones y acompañar decisiones importantes. La combinación puede liberar tiempo para interacciones de mayor valor, pero solo si la automatización no aumenta la carga de revisar errores. Los estudiantes deben aprender a evaluar la retroalimentación recibida y justificar qué sugerencias aceptan. Esta práctica transforma la corrección en una actividad metacognitiva y evita que la herramienta se convierta en una autoridad incuestionable (Crompton &amp; Burke, 2023; Miao &amp; Holmes, 2023).</w:t>
      </w:r>
    </w:p>
    <w:p w14:paraId="38AF8C8B" w14:textId="77777777" w:rsidR="009C6A73" w:rsidRPr="009C6A73" w:rsidRDefault="009C6A73" w:rsidP="00B864DF">
      <w:pPr>
        <w:rPr>
          <w:lang w:val="es-MX"/>
        </w:rPr>
      </w:pPr>
      <w:r w:rsidRPr="009C6A73">
        <w:rPr>
          <w:lang w:val="es-MX"/>
        </w:rPr>
        <w:t xml:space="preserve">Las </w:t>
      </w:r>
      <w:proofErr w:type="spellStart"/>
      <w:r w:rsidRPr="009C6A73">
        <w:rPr>
          <w:lang w:val="es-MX"/>
        </w:rPr>
        <w:t>microcredenciales</w:t>
      </w:r>
      <w:proofErr w:type="spellEnd"/>
      <w:r w:rsidRPr="009C6A73">
        <w:rPr>
          <w:lang w:val="es-MX"/>
        </w:rPr>
        <w:t xml:space="preserve"> y portafolios digitales pueden adquirir mayor relevancia como formas de documentar aprendizajes específicos. La inteligencia artificial puede ayudar a organizar evidencias y relacionarlas con resultados de aprendizaje. No obstante, la validación debe conservar criterios institucionales transparentes. Si un algoritmo decide automáticamente qué competencia posee una persona, puede simplificar trayectorias complejas y reproducir sesgos. Los portafolios deben permitir contextualizar el trabajo, explicar decisiones y mostrar progresión. La interoperabilidad facilita que las evidencias acompañen al estudiante, pero requiere protección de datos y control sobre quién puede consultarlas. El futuro de la evaluación no consiste en reemplazar títulos mediante puntuaciones algorítmicas, sino en construir formas más ricas y verificables de representar capacidades (OECD, 2023; UNESCO, 2021).</w:t>
      </w:r>
    </w:p>
    <w:p w14:paraId="41AF80BF" w14:textId="77777777" w:rsidR="009C6A73" w:rsidRPr="009C6A73" w:rsidRDefault="009C6A73" w:rsidP="00C3023B">
      <w:pPr>
        <w:pStyle w:val="Ttulo3"/>
        <w:rPr>
          <w:lang w:val="es-MX"/>
        </w:rPr>
      </w:pPr>
      <w:bookmarkStart w:id="19" w:name="_Toc239440876"/>
      <w:r w:rsidRPr="009C6A73">
        <w:rPr>
          <w:lang w:val="es-MX"/>
        </w:rPr>
        <w:t>Gobernanza anticipatoria y escenarios institucionales</w:t>
      </w:r>
      <w:bookmarkEnd w:id="19"/>
    </w:p>
    <w:p w14:paraId="04EAE779" w14:textId="77777777" w:rsidR="009C6A73" w:rsidRPr="009C6A73" w:rsidRDefault="009C6A73" w:rsidP="00B864DF">
      <w:pPr>
        <w:rPr>
          <w:lang w:val="es-MX"/>
        </w:rPr>
      </w:pPr>
      <w:r w:rsidRPr="009C6A73">
        <w:rPr>
          <w:lang w:val="es-MX"/>
        </w:rPr>
        <w:t xml:space="preserve">La velocidad del cambio tecnológico dificulta que las normas respondan mediante ciclos tradicionales. La gobernanza anticipatoria propone identificar señales, construir escenarios y </w:t>
      </w:r>
      <w:r w:rsidRPr="009C6A73">
        <w:rPr>
          <w:lang w:val="es-MX"/>
        </w:rPr>
        <w:lastRenderedPageBreak/>
        <w:t>establecer principios que puedan aplicarse a herramientas todavía emergentes. En lugar de redactar reglas para una plataforma específica, la universidad define criterios sobre privacidad, atribución, supervisión y equidad. Estos criterios permiten evaluar futuras aplicaciones con mayor consistencia. La anticipación no busca predecir exactamente qué tecnología dominará, sino preparar capacidades para responder. Incluye formar equipos interdisciplinarios, mantener inventarios y revisar políticas con periodicidad. También requiere observar experiencias externas sin copiarlas de forma automática. Cada institución debe adaptar los aprendizajes a su misión, población y marco jurídico (OECD, 2023; Tabassi, 2023).</w:t>
      </w:r>
    </w:p>
    <w:p w14:paraId="42BEB664" w14:textId="77777777" w:rsidR="009C6A73" w:rsidRPr="009C6A73" w:rsidRDefault="009C6A73" w:rsidP="00B864DF">
      <w:pPr>
        <w:rPr>
          <w:lang w:val="es-MX"/>
        </w:rPr>
      </w:pPr>
      <w:r w:rsidRPr="009C6A73">
        <w:rPr>
          <w:lang w:val="es-MX"/>
        </w:rPr>
        <w:t>Pueden plantearse al menos tres escenarios. En uno de adopción fragmentada, diferentes unidades incorporan herramientas sin coordinación, lo que produce duplicación y riesgos. En un escenario de centralización rígida, la institución controla todas las decisiones, pero limita la experimentación y responde lentamente. Un tercer escenario combina principios comunes con exploración distribuida. Las unidades pueden realizar pilotos dentro de límites definidos, documentan resultados y comparten evidencia. Este modelo requiere infraestructura de apoyo y responsabilidades claras. La elección no es puramente técnica. Refleja la manera en que la universidad equilibra autonomía académica, eficiencia y rendición de cuentas. La gobernanza efectiva crea espacios para innovar sin abandonar protección y calidad (UNESCO, 2021; OECD, 2026).</w:t>
      </w:r>
    </w:p>
    <w:p w14:paraId="29680554" w14:textId="77777777" w:rsidR="009C6A73" w:rsidRPr="009C6A73" w:rsidRDefault="009C6A73" w:rsidP="00B864DF">
      <w:pPr>
        <w:rPr>
          <w:lang w:val="es-MX"/>
        </w:rPr>
      </w:pPr>
      <w:r w:rsidRPr="009C6A73">
        <w:rPr>
          <w:lang w:val="es-MX"/>
        </w:rPr>
        <w:t>El escenario deseable mantiene a las personas en el centro de las decisiones. La inteligencia artificial puede ampliar capacidades, pero no define por sí misma los fines de la educación superior. La universidad debe decidir qué conocimientos, valores y formas de relación quiere preservar y transformar. Esta deliberación incluye preguntas sobre trabajo docente, acceso, sostenibilidad y poder de los proveedores. También exige reconocer que la no adopción puede tener consecuencias, por ejemplo, ampliar brechas si solo algunos estudiantes acceden a herramientas eficaces. La respuesta responsable no es aceptación ni rechazo automático, sino evaluación contextual y aprendizaje institucional. Los escenarios futuros dependerán tanto de decisiones políticas y pedagógicas como de avances técnicos. Por ello, la preparación más valiosa consiste en desarrollar comunidades capaces de comprender, cuestionar y gobernar la tecnología (Miao &amp; Holmes, 2023; UNESCO, 2024a).</w:t>
      </w:r>
    </w:p>
    <w:p w14:paraId="16A129AE" w14:textId="77777777" w:rsidR="009C6A73" w:rsidRPr="009C6A73" w:rsidRDefault="009C6A73" w:rsidP="00B864DF">
      <w:pPr>
        <w:pStyle w:val="Ttulo3"/>
        <w:rPr>
          <w:lang w:val="es-MX"/>
        </w:rPr>
      </w:pPr>
      <w:bookmarkStart w:id="20" w:name="_Toc239440877"/>
      <w:r w:rsidRPr="009C6A73">
        <w:rPr>
          <w:lang w:val="es-MX"/>
        </w:rPr>
        <w:t>Sostenibilidad, impacto ambiental y responsabilidad intergeneracional</w:t>
      </w:r>
      <w:bookmarkEnd w:id="20"/>
    </w:p>
    <w:p w14:paraId="3FC8BA99" w14:textId="77777777" w:rsidR="009C6A73" w:rsidRPr="009C6A73" w:rsidRDefault="009C6A73" w:rsidP="00654881">
      <w:pPr>
        <w:rPr>
          <w:lang w:val="es-MX"/>
        </w:rPr>
      </w:pPr>
      <w:r w:rsidRPr="009C6A73">
        <w:rPr>
          <w:lang w:val="es-MX"/>
        </w:rPr>
        <w:t xml:space="preserve">Los escenarios futuros deben considerar el impacto ambiental de la infraestructura digital. El entrenamiento y operación de modelos requiere centros de datos, energía, agua y dispositivos. La expansión de servicios puede aumentar esta demanda, aunque la magnitud varía según arquitectura, proveedor y tipo de uso. Las universidades necesitan incorporar criterios de sostenibilidad en la contratación y en la planificación. Esto implica solicitar información, </w:t>
      </w:r>
      <w:r w:rsidRPr="009C6A73">
        <w:rPr>
          <w:lang w:val="es-MX"/>
        </w:rPr>
        <w:lastRenderedPageBreak/>
        <w:t>comparar alternativas y evitar utilizar modelos de gran escala para tareas que pueden resolverse con métodos menos intensivos. La eficiencia técnica no debe evaluarse únicamente por velocidad o precisión. También importa el consumo de recursos y la duración de los equipos. Esta perspectiva vincula transformación digital con responsabilidad ambiental y evita que los beneficios educativos se analicen separados de sus costos materiales (UNESCO, 2021).</w:t>
      </w:r>
    </w:p>
    <w:p w14:paraId="12AB56E0" w14:textId="77777777" w:rsidR="009C6A73" w:rsidRDefault="009C6A73" w:rsidP="00654881">
      <w:pPr>
        <w:rPr>
          <w:lang w:val="es-MX"/>
        </w:rPr>
      </w:pPr>
      <w:r w:rsidRPr="009C6A73">
        <w:rPr>
          <w:lang w:val="es-MX"/>
        </w:rPr>
        <w:t>La sostenibilidad también se relaciona con la obsolescencia. Las herramientas cambian rápidamente y pueden dejar de recibir soporte. Diseñar un currículo alrededor de una plataforma específica crea vulnerabilidad. Las competencias deben centrarse en principios transferibles, como formular problemas, evaluar evidencia y proteger datos. De este modo, docentes y estudiantes pueden adaptarse cuando una aplicación cambia. La institución debe conservar documentación, formatos portables y alternativas. La continuidad académica requiere que los cursos no dependan completamente de un servicio externo. Esta precaución no impide innovar; reduce el costo de transición y protege la inversión realizada en materiales y formación (OECD, 2023).</w:t>
      </w:r>
    </w:p>
    <w:p w14:paraId="56B7BF78" w14:textId="1383F099" w:rsidR="00225783" w:rsidRPr="009C6A73" w:rsidRDefault="007F5274" w:rsidP="00654881">
      <w:pPr>
        <w:rPr>
          <w:lang w:val="es-MX"/>
        </w:rPr>
      </w:pPr>
      <w:r>
        <w:rPr>
          <w:noProof/>
          <w:lang w:val="es-MX"/>
        </w:rPr>
        <w:drawing>
          <wp:inline distT="0" distB="0" distL="0" distR="0" wp14:anchorId="4630517D" wp14:editId="2E845165">
            <wp:extent cx="5399405" cy="3602990"/>
            <wp:effectExtent l="0" t="0" r="0" b="0"/>
            <wp:docPr id="75151497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99405" cy="3602990"/>
                    </a:xfrm>
                    <a:prstGeom prst="rect">
                      <a:avLst/>
                    </a:prstGeom>
                    <a:noFill/>
                    <a:ln>
                      <a:noFill/>
                    </a:ln>
                  </pic:spPr>
                </pic:pic>
              </a:graphicData>
            </a:graphic>
          </wp:inline>
        </w:drawing>
      </w:r>
    </w:p>
    <w:p w14:paraId="52309A4D" w14:textId="77777777" w:rsidR="009C6A73" w:rsidRPr="009C6A73" w:rsidRDefault="009C6A73" w:rsidP="00654881">
      <w:pPr>
        <w:rPr>
          <w:lang w:val="es-MX"/>
        </w:rPr>
      </w:pPr>
      <w:r w:rsidRPr="009C6A73">
        <w:rPr>
          <w:lang w:val="es-MX"/>
        </w:rPr>
        <w:t xml:space="preserve">La responsabilidad intergeneracional obliga a considerar qué tipo de universidad se construye mediante las decisiones actuales. Automatizar puede mejorar servicios, pero también modificar profesiones, relaciones y capacidades. Si cada tarea intelectual se delega, las futuras comunidades podrían perder experiencia para evaluar sistemas. Por ello, la universidad debe conservar prácticas que desarrollen conocimiento profundo y juicio. La inteligencia artificial puede utilizarse para ampliar investigación y acceso, mientras se mantiene la formación de capacidades humanas. Esta complementariedad requiere decisiones conscientes. No surge automáticamente del mercado </w:t>
      </w:r>
      <w:r w:rsidRPr="009C6A73">
        <w:rPr>
          <w:lang w:val="es-MX"/>
        </w:rPr>
        <w:lastRenderedPageBreak/>
        <w:t>tecnológico. Las instituciones deben establecer límites, observar consecuencias y revisar si la distribución de beneficios es justa (Miao &amp; Holmes, 2023; UNESCO, 2021).</w:t>
      </w:r>
    </w:p>
    <w:p w14:paraId="2D9C6E64" w14:textId="77777777" w:rsidR="009C6A73" w:rsidRPr="009C6A73" w:rsidRDefault="009C6A73" w:rsidP="00654881">
      <w:pPr>
        <w:rPr>
          <w:lang w:val="es-MX"/>
        </w:rPr>
      </w:pPr>
      <w:r w:rsidRPr="009C6A73">
        <w:rPr>
          <w:lang w:val="es-MX"/>
        </w:rPr>
        <w:t>Los escenarios deben incluir la posibilidad de fallas y discontinuidades. Un proveedor puede cambiar condiciones, una interrupción puede afectar servicios o un modelo puede producir errores sistemáticos. La resiliencia se fortalece mediante copias, procedimientos manuales y responsabilidades claras. Los planes de continuidad deben identificar funciones críticas y niveles aceptables de dependencia. La simulación de incidentes permite comprobar si el personal sabe cómo actuar. La gobernanza no se limita a prevenir daños; también prepara la recuperación. En educación superior, la continuidad tiene una dimensión académica, porque una falla no debe comprometer evaluaciones, registros o derechos estudiantiles (Tabassi, 2023).</w:t>
      </w:r>
    </w:p>
    <w:p w14:paraId="6543B3D0" w14:textId="3FFFC4D9" w:rsidR="00654881" w:rsidRDefault="009C6A73" w:rsidP="00654881">
      <w:pPr>
        <w:rPr>
          <w:lang w:val="es-MX"/>
        </w:rPr>
      </w:pPr>
      <w:r w:rsidRPr="009C6A73">
        <w:rPr>
          <w:lang w:val="es-MX"/>
        </w:rPr>
        <w:t>Incorporar sostenibilidad amplía el concepto de innovación. Una solución es innovadora cuando produce valor que puede mantenerse, distribuirse y justificarse. La novedad efímera puede generar visibilidad, pero no necesariamente transformación. Las universidades deben documentar costos totales, incluidos soporte, formación, migración y supervisión. También conviene revisar si la herramienta permite cooperación y reutilización. Estas preguntas ayudan a seleccionar tecnologías compatibles con la misión institucional. La responsabilidad intergeneracional conecta decisiones presentes con capacidades futuras y recuerda que la universidad no solo responde a una tendencia, sino que forma a quienes gobernarán sus consecuencias (OECD, 2026).</w:t>
      </w:r>
    </w:p>
    <w:p w14:paraId="522F8303" w14:textId="77777777" w:rsidR="00654881" w:rsidRDefault="00654881">
      <w:pPr>
        <w:spacing w:before="0" w:after="160" w:line="278" w:lineRule="auto"/>
        <w:jc w:val="left"/>
        <w:rPr>
          <w:lang w:val="es-MX"/>
        </w:rPr>
      </w:pPr>
      <w:r>
        <w:rPr>
          <w:lang w:val="es-MX"/>
        </w:rPr>
        <w:br w:type="page"/>
      </w:r>
    </w:p>
    <w:p w14:paraId="36C386C2" w14:textId="0E460040" w:rsidR="00E21F8F" w:rsidRDefault="00FF230F" w:rsidP="00FF230F">
      <w:pPr>
        <w:pStyle w:val="Ttulo1"/>
      </w:pPr>
      <w:bookmarkStart w:id="21" w:name="_Toc239440878"/>
      <w:r w:rsidRPr="00FF230F">
        <w:lastRenderedPageBreak/>
        <w:t xml:space="preserve">Capítulo </w:t>
      </w:r>
      <w:r w:rsidR="007F5274">
        <w:t>2</w:t>
      </w:r>
      <w:r w:rsidR="00B47FBA">
        <w:t xml:space="preserve">: </w:t>
      </w:r>
      <w:r w:rsidRPr="00FF230F">
        <w:t>Inteligencia artificial aplicada a la enseñanza universitaria</w:t>
      </w:r>
      <w:bookmarkEnd w:id="21"/>
    </w:p>
    <w:p w14:paraId="44EC2AE4" w14:textId="77777777" w:rsidR="00E21F8F" w:rsidRDefault="00E21F8F">
      <w:pPr>
        <w:spacing w:before="0" w:after="160" w:line="278" w:lineRule="auto"/>
        <w:jc w:val="left"/>
        <w:rPr>
          <w:rFonts w:eastAsiaTheme="majorEastAsia" w:cs="Tahoma"/>
          <w:b/>
          <w:color w:val="262626"/>
          <w:sz w:val="28"/>
          <w:szCs w:val="40"/>
          <w:lang w:val="es-MX"/>
        </w:rPr>
      </w:pPr>
      <w:r>
        <w:br w:type="page"/>
      </w:r>
    </w:p>
    <w:p w14:paraId="6316887E" w14:textId="77777777" w:rsidR="002112B8" w:rsidRPr="002112B8" w:rsidRDefault="002112B8" w:rsidP="002112B8">
      <w:pPr>
        <w:jc w:val="center"/>
        <w:rPr>
          <w:b/>
          <w:bCs/>
          <w:color w:val="000000"/>
          <w:sz w:val="28"/>
          <w:szCs w:val="28"/>
          <w:lang w:val="es-MX" w:eastAsia="es-MX"/>
        </w:rPr>
      </w:pPr>
      <w:r w:rsidRPr="002112B8">
        <w:rPr>
          <w:b/>
          <w:bCs/>
          <w:sz w:val="28"/>
          <w:szCs w:val="28"/>
          <w:lang w:val="es-MX" w:eastAsia="es-MX"/>
        </w:rPr>
        <w:lastRenderedPageBreak/>
        <w:t>Introducción</w:t>
      </w:r>
    </w:p>
    <w:p w14:paraId="727F3CC9" w14:textId="77777777" w:rsidR="002112B8" w:rsidRPr="002112B8" w:rsidRDefault="002112B8" w:rsidP="002112B8">
      <w:pPr>
        <w:rPr>
          <w:color w:val="000000"/>
          <w:lang w:val="es-MX" w:eastAsia="es-MX"/>
        </w:rPr>
      </w:pPr>
      <w:r w:rsidRPr="002112B8">
        <w:rPr>
          <w:color w:val="000000"/>
          <w:lang w:val="es-MX" w:eastAsia="es-MX"/>
        </w:rPr>
        <w:t>Los capítulos anteriores explicaron la transformación de la educación superior, los fundamentos tecnológicos de la inteligencia artificial y sus aplicaciones en la enseñanza universitaria. Ese recorrido conduce a una cuestión decisiva, qué ocurre con el aprendizaje cuando una persona puede delegar en un sistema parte de la búsqueda, la redacción, el análisis y la toma de decisiones. La disponibilidad de asistencia inmediata no garantiza comprensión. Un producto correcto puede ocultar un proceso superficial, mientras que una respuesta imperfecta puede revelar un esfuerzo intelectual valioso. Por ello, la universidad necesita distinguir entre rendimiento asistido y aprendizaje duradero. El primero describe lo que una persona consigue con apoyo en una situación determinada. El segundo supone que puede explicar, transferir, revisar y utilizar lo aprendido con autonomía creciente. Esta diferencia orienta una integración educativa que aprovecha la inteligencia artificial sin convertirla en sustituto del juicio del estudiante (Risko &amp; Gilbert, 2016; Zimmerman, 2002).</w:t>
      </w:r>
    </w:p>
    <w:p w14:paraId="164BE442" w14:textId="77777777" w:rsidR="002112B8" w:rsidRPr="002112B8" w:rsidRDefault="002112B8" w:rsidP="002112B8">
      <w:pPr>
        <w:rPr>
          <w:color w:val="000000"/>
          <w:lang w:val="es-MX" w:eastAsia="es-MX"/>
        </w:rPr>
      </w:pPr>
      <w:r w:rsidRPr="002112B8">
        <w:rPr>
          <w:color w:val="000000"/>
          <w:lang w:val="es-MX" w:eastAsia="es-MX"/>
        </w:rPr>
        <w:t>La autonomía no equivale a trabajar sin ayuda. Consiste en dirigir el propio aprendizaje, reconocer cuándo se necesita apoyo, seleccionar recursos y asumir responsabilidad por las decisiones. En un entorno mediado por algoritmos, esta capacidad se relaciona con el pensamiento crítico, la competencia digital, la comprensión de los sistemas de inteligencia artificial y la conciencia de sus efectos sociales. Un estudiante autónomo no rechaza la tecnología, pero tampoco acepta sus resultados como autoridad. Formula propósitos, contrasta evidencia, protege información, documenta su proceso y sabe interrumpir el uso cuando la herramienta reduce la calidad del razonamiento. Esta concepción humana y relacional de la autonomía evita presentar al estudiante como consumidor aislado. El aprendizaje depende también del acompañamiento docente, la interacción entre pares, la accesibilidad y las condiciones institucionales (Miao et al., 2024; UNESCO, 2021).</w:t>
      </w:r>
    </w:p>
    <w:p w14:paraId="75C2BDA8" w14:textId="06510BAE" w:rsidR="00FF230F" w:rsidRDefault="002112B8" w:rsidP="002112B8">
      <w:pPr>
        <w:rPr>
          <w:lang w:val="es-MX"/>
        </w:rPr>
      </w:pPr>
      <w:r w:rsidRPr="002112B8">
        <w:rPr>
          <w:color w:val="000000"/>
          <w:lang w:val="es-MX" w:eastAsia="es-MX"/>
        </w:rPr>
        <w:t xml:space="preserve">El capítulo se organiza en cuatro apartados vinculados. El primero analiza la autorregulación y la autonomía, con atención a metas, planificación, seguimiento, motivación, solicitud de ayuda y transferencia hacia desempeños independientes. El segundo estudia el pensamiento crítico como capacidad para interpretar afirmaciones, evaluar fuentes, reconocer incertidumbre y justificar decisiones. El tercero desarrolla las competencias digitales y de inteligencia artificial que necesita el alumnado universitario, desde el manejo de datos hasta el diseño responsable. El cuarto aborda la alfabetización algorítmica, es decir, la comprensión crítica de los sistemas que clasifican, </w:t>
      </w:r>
      <w:proofErr w:type="gramStart"/>
      <w:r w:rsidRPr="002112B8">
        <w:rPr>
          <w:color w:val="000000"/>
          <w:lang w:val="es-MX" w:eastAsia="es-MX"/>
        </w:rPr>
        <w:t>recomiendan</w:t>
      </w:r>
      <w:proofErr w:type="gramEnd"/>
      <w:r w:rsidRPr="002112B8">
        <w:rPr>
          <w:color w:val="000000"/>
          <w:lang w:val="es-MX" w:eastAsia="es-MX"/>
        </w:rPr>
        <w:t xml:space="preserve">, priorizan y predicen. En conjunto, estas dimensiones describen una formación que supera el dominio instrumental. También preparan el capítulo siguiente, dedicado a una evaluación capaz de observar procesos, ofrecer retroalimentación y preservar validez en contextos de asistencia automatizada (Abrami et al., 2015; </w:t>
      </w:r>
      <w:proofErr w:type="spellStart"/>
      <w:r w:rsidRPr="002112B8">
        <w:rPr>
          <w:color w:val="000000"/>
          <w:lang w:val="es-MX" w:eastAsia="es-MX"/>
        </w:rPr>
        <w:t>Vuorikari</w:t>
      </w:r>
      <w:proofErr w:type="spellEnd"/>
      <w:r w:rsidRPr="002112B8">
        <w:rPr>
          <w:color w:val="000000"/>
          <w:lang w:val="es-MX" w:eastAsia="es-MX"/>
        </w:rPr>
        <w:t xml:space="preserve"> et al., 2022).</w:t>
      </w:r>
      <w:r w:rsidR="00FF230F">
        <w:rPr>
          <w:lang w:val="es-MX"/>
        </w:rPr>
        <w:br w:type="page"/>
      </w:r>
    </w:p>
    <w:p w14:paraId="18F0F3F3" w14:textId="38B595B3" w:rsidR="002D4C36" w:rsidRPr="002D4C36" w:rsidRDefault="002D4C36" w:rsidP="00B47FBA">
      <w:pPr>
        <w:pStyle w:val="Ttulo2"/>
        <w:rPr>
          <w:lang w:val="es-MX"/>
        </w:rPr>
      </w:pPr>
      <w:r w:rsidRPr="002D4C36">
        <w:rPr>
          <w:lang w:val="es-MX"/>
        </w:rPr>
        <w:lastRenderedPageBreak/>
        <w:t xml:space="preserve"> </w:t>
      </w:r>
      <w:bookmarkStart w:id="22" w:name="_Toc239440879"/>
      <w:r w:rsidRPr="002D4C36">
        <w:rPr>
          <w:lang w:val="es-MX"/>
        </w:rPr>
        <w:t>Diseño de experiencias de aprendizaje</w:t>
      </w:r>
      <w:bookmarkEnd w:id="22"/>
    </w:p>
    <w:p w14:paraId="6ECB6593" w14:textId="2406970A" w:rsidR="002D4C36" w:rsidRPr="002D4C36" w:rsidRDefault="002D4C36" w:rsidP="00B47FBA">
      <w:pPr>
        <w:pStyle w:val="Ttulo3"/>
        <w:rPr>
          <w:lang w:val="es-MX"/>
        </w:rPr>
      </w:pPr>
      <w:bookmarkStart w:id="23" w:name="_Toc239440880"/>
      <w:r w:rsidRPr="002D4C36">
        <w:rPr>
          <w:lang w:val="es-MX"/>
        </w:rPr>
        <w:t>Alineación constructiva y resultados de aprendizaje</w:t>
      </w:r>
      <w:bookmarkEnd w:id="23"/>
    </w:p>
    <w:p w14:paraId="0C04B05E" w14:textId="77777777" w:rsidR="002D4C36" w:rsidRPr="002D4C36" w:rsidRDefault="002D4C36" w:rsidP="002D4C36">
      <w:pPr>
        <w:rPr>
          <w:lang w:val="es-MX"/>
        </w:rPr>
      </w:pPr>
      <w:r w:rsidRPr="002D4C36">
        <w:rPr>
          <w:lang w:val="es-MX"/>
        </w:rPr>
        <w:t>Diseñar una experiencia de aprendizaje significa coordinar resultados, actividades, recursos, interacción y evaluación. La alineación constructiva propone que cada componente contribuya de manera explícita a los aprendizajes esperados. Si el resultado exige argumentar una decisión profesional, una actividad centrada en copiar definiciones no ofrece evidencia suficiente. La inteligencia artificial debe ubicarse dentro de esa relación. Puede apoyar la búsqueda de alternativas, la práctica o la revisión, pero su función cambia según el resultado. En una actividad destinada a desarrollar escritura, generar un texto completo podría desplazar el desempeño que se quiere observar. En otra orientada a evaluar argumentos, comparar varios textos generados puede convertirse en una tarea pertinente. El criterio no consiste en permitir o prohibir de forma general, sino en determinar qué procesos debe realizar el estudiante, qué apoyo es legítimo y qué evidencia demostrará comprensión (Biggs &amp; Tang, 2011; OECD, 2026).</w:t>
      </w:r>
    </w:p>
    <w:p w14:paraId="2AEEB248" w14:textId="77777777" w:rsidR="002D4C36" w:rsidRPr="002D4C36" w:rsidRDefault="002D4C36" w:rsidP="002D4C36">
      <w:pPr>
        <w:rPr>
          <w:lang w:val="es-MX"/>
        </w:rPr>
      </w:pPr>
      <w:r w:rsidRPr="002D4C36">
        <w:rPr>
          <w:lang w:val="es-MX"/>
        </w:rPr>
        <w:t>La formulación de resultados de aprendizaje constituye el punto de partida. Estos resultados deben describir actuaciones observables y un nivel de complejidad adecuado. Verbos como analizar, diseñar, justificar o evaluar orientan actividades distintas y requieren evidencias diferentes. La inteligencia artificial puede ayudar al docente a revisar coherencia, proponer variantes o identificar ambigüedades, pero las decisiones finales dependen del perfil de egreso y del contexto disciplinar. Un modelo puede sugerir una lista extensa de resultados que no corresponde al tiempo disponible o utilizar verbos sin precisar condiciones. El profesorado necesita seleccionar, secuenciar y asegurar que los resultados expresen capacidades relevantes. También debe considerar qué cambia cuando el estudiante dispone de asistencia generativa. Si una tarea puede completarse mediante una respuesta inmediata, quizá sea necesario elevar el nivel hacia verificación, aplicación contextual, defensa oral o reflexión sobre decisiones (Miao &amp; Holmes, 2023; UNESCO IESALC, 2023).</w:t>
      </w:r>
    </w:p>
    <w:p w14:paraId="223A4D79" w14:textId="77777777" w:rsidR="002D4C36" w:rsidRPr="002D4C36" w:rsidRDefault="002D4C36" w:rsidP="002D4C36">
      <w:pPr>
        <w:rPr>
          <w:lang w:val="es-MX"/>
        </w:rPr>
      </w:pPr>
      <w:r w:rsidRPr="002D4C36">
        <w:rPr>
          <w:lang w:val="es-MX"/>
        </w:rPr>
        <w:t xml:space="preserve">La selección de una función tecnológica debe responder a una necesidad identificada. Entre las necesidades frecuentes se encuentran ofrecer más práctica, atender ritmos diversos, facilitar acceso a explicaciones, apoyar la retroalimentación o simular situaciones difíciles de reproducir. Para cada una conviene formular una hipótesis pedagógica. Por ejemplo, si un asistente genera preguntas de práctica, la hipótesis podría ser que la recuperación frecuente fortalece el aprendizaje, siempre que las preguntas sean correctas y exijan el nivel esperado. Esta formulación permite decidir qué datos recoger y cómo evaluar. Sin una hipótesis, el uso puede limitarse a la novedad y producir satisfacción sin aprendizaje. También conviene comparar con alternativas no automatizadas. Un banco de preguntas elaborado por docentes podría ser más estable y </w:t>
      </w:r>
      <w:r w:rsidRPr="002D4C36">
        <w:rPr>
          <w:lang w:val="es-MX"/>
        </w:rPr>
        <w:lastRenderedPageBreak/>
        <w:t>económico. La inteligencia artificial se justifica cuando aporta una capacidad relevante y sostenible, no simplemente porque puede incorporarse (</w:t>
      </w:r>
      <w:proofErr w:type="spellStart"/>
      <w:r w:rsidRPr="002D4C36">
        <w:rPr>
          <w:lang w:val="es-MX"/>
        </w:rPr>
        <w:t>Laurillard</w:t>
      </w:r>
      <w:proofErr w:type="spellEnd"/>
      <w:r w:rsidRPr="002D4C36">
        <w:rPr>
          <w:lang w:val="es-MX"/>
        </w:rPr>
        <w:t>, 2012; OECD, 2023).</w:t>
      </w:r>
    </w:p>
    <w:p w14:paraId="31BAE237" w14:textId="4D872F65" w:rsidR="002D4C36" w:rsidRPr="002D4C36" w:rsidRDefault="002D4C36" w:rsidP="002D4C36">
      <w:pPr>
        <w:rPr>
          <w:lang w:val="es-MX"/>
        </w:rPr>
      </w:pPr>
      <w:r w:rsidRPr="002D4C36">
        <w:rPr>
          <w:b/>
          <w:bCs/>
          <w:lang w:val="es-MX"/>
        </w:rPr>
        <w:t xml:space="preserve">Tabla </w:t>
      </w:r>
      <w:r w:rsidR="00FA6F60">
        <w:rPr>
          <w:b/>
          <w:bCs/>
          <w:lang w:val="es-MX"/>
        </w:rPr>
        <w:t>2</w:t>
      </w:r>
      <w:r w:rsidRPr="002D4C36">
        <w:rPr>
          <w:b/>
          <w:bCs/>
          <w:lang w:val="es-MX"/>
        </w:rPr>
        <w:t>.1. Decisiones para integrar IA en una experiencia de aprendizaje</w:t>
      </w:r>
    </w:p>
    <w:tbl>
      <w:tblPr>
        <w:tblStyle w:val="Tablanormal2"/>
        <w:tblW w:w="8392" w:type="dxa"/>
        <w:tblLook w:val="04A0" w:firstRow="1" w:lastRow="0" w:firstColumn="1" w:lastColumn="0" w:noHBand="0" w:noVBand="1"/>
      </w:tblPr>
      <w:tblGrid>
        <w:gridCol w:w="2098"/>
        <w:gridCol w:w="2098"/>
        <w:gridCol w:w="2098"/>
        <w:gridCol w:w="2098"/>
      </w:tblGrid>
      <w:tr w:rsidR="002D4C36" w:rsidRPr="002D4C36" w14:paraId="3ECD9512" w14:textId="77777777" w:rsidTr="002112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98527DA" w14:textId="77777777" w:rsidR="002D4C36" w:rsidRPr="00B47FBA" w:rsidRDefault="002D4C36" w:rsidP="00B47FBA">
            <w:pPr>
              <w:spacing w:before="0" w:after="0" w:line="240" w:lineRule="auto"/>
              <w:rPr>
                <w:sz w:val="20"/>
                <w:szCs w:val="20"/>
                <w:lang w:val="es-MX"/>
              </w:rPr>
            </w:pPr>
            <w:r w:rsidRPr="00B47FBA">
              <w:rPr>
                <w:sz w:val="20"/>
                <w:szCs w:val="20"/>
                <w:lang w:val="es-MX"/>
              </w:rPr>
              <w:t>Decisión</w:t>
            </w:r>
          </w:p>
        </w:tc>
        <w:tc>
          <w:tcPr>
            <w:tcW w:w="2098" w:type="dxa"/>
            <w:vAlign w:val="center"/>
            <w:hideMark/>
          </w:tcPr>
          <w:p w14:paraId="3456C82A" w14:textId="77777777" w:rsidR="002D4C36" w:rsidRPr="00B47FBA" w:rsidRDefault="002D4C36" w:rsidP="00B47FB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Pregunta orientadora</w:t>
            </w:r>
          </w:p>
        </w:tc>
        <w:tc>
          <w:tcPr>
            <w:tcW w:w="2098" w:type="dxa"/>
            <w:vAlign w:val="center"/>
            <w:hideMark/>
          </w:tcPr>
          <w:p w14:paraId="0049B14D" w14:textId="77777777" w:rsidR="002D4C36" w:rsidRPr="00B47FBA" w:rsidRDefault="002D4C36" w:rsidP="00B47FB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Evidencia esperada</w:t>
            </w:r>
          </w:p>
        </w:tc>
        <w:tc>
          <w:tcPr>
            <w:tcW w:w="2098" w:type="dxa"/>
            <w:vAlign w:val="center"/>
            <w:hideMark/>
          </w:tcPr>
          <w:p w14:paraId="262399BC" w14:textId="77777777" w:rsidR="002D4C36" w:rsidRPr="00B47FBA" w:rsidRDefault="002D4C36" w:rsidP="00B47FBA">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Cautela</w:t>
            </w:r>
          </w:p>
        </w:tc>
      </w:tr>
      <w:tr w:rsidR="002D4C36" w:rsidRPr="002D4C36" w14:paraId="64B583B4"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FDC983F" w14:textId="77777777" w:rsidR="002D4C36" w:rsidRPr="00B47FBA" w:rsidRDefault="002D4C36" w:rsidP="00B47FBA">
            <w:pPr>
              <w:spacing w:before="0" w:after="0" w:line="240" w:lineRule="auto"/>
              <w:rPr>
                <w:sz w:val="20"/>
                <w:szCs w:val="20"/>
                <w:lang w:val="es-MX"/>
              </w:rPr>
            </w:pPr>
            <w:r w:rsidRPr="00B47FBA">
              <w:rPr>
                <w:sz w:val="20"/>
                <w:szCs w:val="20"/>
                <w:lang w:val="es-MX"/>
              </w:rPr>
              <w:t>Resultado</w:t>
            </w:r>
          </w:p>
        </w:tc>
        <w:tc>
          <w:tcPr>
            <w:tcW w:w="2098" w:type="dxa"/>
            <w:vAlign w:val="center"/>
            <w:hideMark/>
          </w:tcPr>
          <w:p w14:paraId="7CC99860"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¿Qué debe comprender o realizar el estudiante?</w:t>
            </w:r>
          </w:p>
        </w:tc>
        <w:tc>
          <w:tcPr>
            <w:tcW w:w="2098" w:type="dxa"/>
            <w:vAlign w:val="center"/>
            <w:hideMark/>
          </w:tcPr>
          <w:p w14:paraId="5CE7A5DE"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Desempeño observable</w:t>
            </w:r>
          </w:p>
        </w:tc>
        <w:tc>
          <w:tcPr>
            <w:tcW w:w="2098" w:type="dxa"/>
            <w:vAlign w:val="center"/>
            <w:hideMark/>
          </w:tcPr>
          <w:p w14:paraId="3DD30D64"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Evitar que la herramienta sustituya la competencia</w:t>
            </w:r>
          </w:p>
        </w:tc>
      </w:tr>
      <w:tr w:rsidR="002D4C36" w:rsidRPr="002D4C36" w14:paraId="63B11720" w14:textId="77777777" w:rsidTr="002112B8">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28A6A15" w14:textId="77777777" w:rsidR="002D4C36" w:rsidRPr="00B47FBA" w:rsidRDefault="002D4C36" w:rsidP="00B47FBA">
            <w:pPr>
              <w:spacing w:before="0" w:after="0" w:line="240" w:lineRule="auto"/>
              <w:rPr>
                <w:sz w:val="20"/>
                <w:szCs w:val="20"/>
                <w:lang w:val="es-MX"/>
              </w:rPr>
            </w:pPr>
            <w:r w:rsidRPr="00B47FBA">
              <w:rPr>
                <w:sz w:val="20"/>
                <w:szCs w:val="20"/>
                <w:lang w:val="es-MX"/>
              </w:rPr>
              <w:t>Actividad</w:t>
            </w:r>
          </w:p>
        </w:tc>
        <w:tc>
          <w:tcPr>
            <w:tcW w:w="2098" w:type="dxa"/>
            <w:vAlign w:val="center"/>
            <w:hideMark/>
          </w:tcPr>
          <w:p w14:paraId="33146B5D"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¿Qué acción cognitiva promoverá?</w:t>
            </w:r>
          </w:p>
        </w:tc>
        <w:tc>
          <w:tcPr>
            <w:tcW w:w="2098" w:type="dxa"/>
            <w:vAlign w:val="center"/>
            <w:hideMark/>
          </w:tcPr>
          <w:p w14:paraId="3167B06B"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Explicación, aplicación o creación</w:t>
            </w:r>
          </w:p>
        </w:tc>
        <w:tc>
          <w:tcPr>
            <w:tcW w:w="2098" w:type="dxa"/>
            <w:vAlign w:val="center"/>
            <w:hideMark/>
          </w:tcPr>
          <w:p w14:paraId="71E7C658"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No confundir interacción con aprendizaje</w:t>
            </w:r>
          </w:p>
        </w:tc>
      </w:tr>
      <w:tr w:rsidR="002D4C36" w:rsidRPr="002D4C36" w14:paraId="597979E7"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BD11BE4" w14:textId="77777777" w:rsidR="002D4C36" w:rsidRPr="00B47FBA" w:rsidRDefault="002D4C36" w:rsidP="00B47FBA">
            <w:pPr>
              <w:spacing w:before="0" w:after="0" w:line="240" w:lineRule="auto"/>
              <w:rPr>
                <w:sz w:val="20"/>
                <w:szCs w:val="20"/>
                <w:lang w:val="es-MX"/>
              </w:rPr>
            </w:pPr>
            <w:r w:rsidRPr="00B47FBA">
              <w:rPr>
                <w:sz w:val="20"/>
                <w:szCs w:val="20"/>
                <w:lang w:val="es-MX"/>
              </w:rPr>
              <w:t>Apoyo de IA</w:t>
            </w:r>
          </w:p>
        </w:tc>
        <w:tc>
          <w:tcPr>
            <w:tcW w:w="2098" w:type="dxa"/>
            <w:vAlign w:val="center"/>
            <w:hideMark/>
          </w:tcPr>
          <w:p w14:paraId="4027B792"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¿Qué necesidad pedagógica atiende?</w:t>
            </w:r>
          </w:p>
        </w:tc>
        <w:tc>
          <w:tcPr>
            <w:tcW w:w="2098" w:type="dxa"/>
            <w:vAlign w:val="center"/>
            <w:hideMark/>
          </w:tcPr>
          <w:p w14:paraId="4EBA294A"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Mejora verificable del proceso</w:t>
            </w:r>
          </w:p>
        </w:tc>
        <w:tc>
          <w:tcPr>
            <w:tcW w:w="2098" w:type="dxa"/>
            <w:vAlign w:val="center"/>
            <w:hideMark/>
          </w:tcPr>
          <w:p w14:paraId="56CEE023" w14:textId="77777777" w:rsidR="002D4C36" w:rsidRPr="00B47FBA" w:rsidRDefault="002D4C36" w:rsidP="00B47FBA">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B47FBA">
              <w:rPr>
                <w:sz w:val="20"/>
                <w:szCs w:val="20"/>
                <w:lang w:val="es-MX"/>
              </w:rPr>
              <w:t>Comparar con opciones no automatizadas</w:t>
            </w:r>
          </w:p>
        </w:tc>
      </w:tr>
      <w:tr w:rsidR="002D4C36" w:rsidRPr="002D4C36" w14:paraId="7D0D8CC7" w14:textId="77777777" w:rsidTr="002112B8">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4466EEF" w14:textId="77777777" w:rsidR="002D4C36" w:rsidRPr="00B47FBA" w:rsidRDefault="002D4C36" w:rsidP="00B47FBA">
            <w:pPr>
              <w:spacing w:before="0" w:after="0" w:line="240" w:lineRule="auto"/>
              <w:rPr>
                <w:sz w:val="20"/>
                <w:szCs w:val="20"/>
                <w:lang w:val="es-MX"/>
              </w:rPr>
            </w:pPr>
            <w:r w:rsidRPr="00B47FBA">
              <w:rPr>
                <w:sz w:val="20"/>
                <w:szCs w:val="20"/>
                <w:lang w:val="es-MX"/>
              </w:rPr>
              <w:t>Evaluación</w:t>
            </w:r>
          </w:p>
        </w:tc>
        <w:tc>
          <w:tcPr>
            <w:tcW w:w="2098" w:type="dxa"/>
            <w:vAlign w:val="center"/>
            <w:hideMark/>
          </w:tcPr>
          <w:p w14:paraId="3D1A7C66"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¿Cómo se distinguirá aprendizaje de asistencia?</w:t>
            </w:r>
          </w:p>
        </w:tc>
        <w:tc>
          <w:tcPr>
            <w:tcW w:w="2098" w:type="dxa"/>
            <w:vAlign w:val="center"/>
            <w:hideMark/>
          </w:tcPr>
          <w:p w14:paraId="3C232A06"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Producto, proceso y transferencia</w:t>
            </w:r>
          </w:p>
        </w:tc>
        <w:tc>
          <w:tcPr>
            <w:tcW w:w="2098" w:type="dxa"/>
            <w:vAlign w:val="center"/>
            <w:hideMark/>
          </w:tcPr>
          <w:p w14:paraId="2C100145" w14:textId="77777777" w:rsidR="002D4C36" w:rsidRPr="00B47FBA" w:rsidRDefault="002D4C36" w:rsidP="00B47FBA">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B47FBA">
              <w:rPr>
                <w:sz w:val="20"/>
                <w:szCs w:val="20"/>
                <w:lang w:val="es-MX"/>
              </w:rPr>
              <w:t>No basarse solo en satisfacción</w:t>
            </w:r>
          </w:p>
        </w:tc>
      </w:tr>
    </w:tbl>
    <w:p w14:paraId="0BDEB0E6" w14:textId="77777777" w:rsidR="002D4C36" w:rsidRPr="002D4C36" w:rsidRDefault="002D4C36" w:rsidP="002D4C36">
      <w:pPr>
        <w:rPr>
          <w:lang w:val="es-MX"/>
        </w:rPr>
      </w:pPr>
      <w:r w:rsidRPr="002D4C36">
        <w:rPr>
          <w:i/>
          <w:iCs/>
          <w:lang w:val="es-MX"/>
        </w:rPr>
        <w:t>Fuente: elaboración propia a partir de las referencias citadas en el apartado.</w:t>
      </w:r>
    </w:p>
    <w:p w14:paraId="79350BBE" w14:textId="4F750243" w:rsidR="002D4C36" w:rsidRPr="002D4C36" w:rsidRDefault="002D4C36" w:rsidP="00B47FBA">
      <w:pPr>
        <w:pStyle w:val="Ttulo3"/>
        <w:rPr>
          <w:lang w:val="es-MX"/>
        </w:rPr>
      </w:pPr>
      <w:bookmarkStart w:id="24" w:name="_Toc239440881"/>
      <w:r w:rsidRPr="002D4C36">
        <w:rPr>
          <w:lang w:val="es-MX"/>
        </w:rPr>
        <w:t>Aprendizaje activo, preguntas y ejemplos trabajados</w:t>
      </w:r>
      <w:bookmarkEnd w:id="24"/>
    </w:p>
    <w:p w14:paraId="03106DF7" w14:textId="77777777" w:rsidR="002D4C36" w:rsidRPr="002D4C36" w:rsidRDefault="002D4C36" w:rsidP="002D4C36">
      <w:pPr>
        <w:rPr>
          <w:lang w:val="es-MX"/>
        </w:rPr>
      </w:pPr>
      <w:r w:rsidRPr="002D4C36">
        <w:rPr>
          <w:lang w:val="es-MX"/>
        </w:rPr>
        <w:t xml:space="preserve">El aprendizaje activo requiere que los estudiantes elaboren, discutan, apliquen y revisen ideas. El marco ICAP diferencia formas pasivas, activas, constructivas e interactivas de participación y sostiene que la calidad aumenta cuando el estudiante produce conocimiento y dialoga sobre él. La inteligencia artificial puede reforzar niveles constructivos si plantea problemas, solicita explicaciones o permite contrastar soluciones. También puede reducir la actividad a una recepción pasiva cuando entrega respuestas completas. El diseño debe evitar que la facilidad de generación sustituya la elaboración. Una estrategia consiste en pedir una respuesta inicial propia, consultar después al sistema y finalmente comparar, corregir y justificar. Otra consiste en utilizar la herramienta como interlocutor crítico que formule objeciones. En ambos casos, la actividad se evalúa por la profundidad del razonamiento humano y no por la elegancia de la salida automática (Chi &amp; Wylie, 2014; </w:t>
      </w:r>
      <w:proofErr w:type="spellStart"/>
      <w:r w:rsidRPr="002D4C36">
        <w:rPr>
          <w:lang w:val="es-MX"/>
        </w:rPr>
        <w:t>Kasneci</w:t>
      </w:r>
      <w:proofErr w:type="spellEnd"/>
      <w:r w:rsidRPr="002D4C36">
        <w:rPr>
          <w:lang w:val="es-MX"/>
        </w:rPr>
        <w:t xml:space="preserve"> et al., 2023).</w:t>
      </w:r>
    </w:p>
    <w:p w14:paraId="28574C9D" w14:textId="77777777" w:rsidR="002D4C36" w:rsidRPr="002D4C36" w:rsidRDefault="002D4C36" w:rsidP="002D4C36">
      <w:pPr>
        <w:rPr>
          <w:lang w:val="es-MX"/>
        </w:rPr>
      </w:pPr>
      <w:r w:rsidRPr="002D4C36">
        <w:rPr>
          <w:lang w:val="es-MX"/>
        </w:rPr>
        <w:t xml:space="preserve">Las preguntas orientan la atención y hacen visible el pensamiento. Un sistema generativo puede crear preguntas en diferentes niveles, pero necesita criterios, contenido de referencia y revisión. Las preguntas demasiado generales producen respuestas superficiales; las excesivamente cerradas privilegian recuerdo. Para promover comprensión, conviene combinar explicación, comparación, aplicación y evaluación. El docente puede proporcionar ejemplos de preguntas válidas, restricciones temáticas y criterios de dificultad. Después debe revisar una muestra y corregir patrones. Los estudiantes también pueden evaluar las preguntas generadas, detectar supuestos y proponer versiones mejores. Esta actividad desarrolla conocimiento disciplinar porque obliga a distinguir qué es relevante y qué evidencia una comprensión profunda. La automatización no elimina la responsabilidad sobre la calidad del banco. Si las preguntas influyen en una evaluación, </w:t>
      </w:r>
      <w:r w:rsidRPr="002D4C36">
        <w:rPr>
          <w:lang w:val="es-MX"/>
        </w:rPr>
        <w:lastRenderedPageBreak/>
        <w:t>requieren validación más rigurosa que las usadas para práctica voluntaria (Biggs &amp; Tang, 2011; Miao &amp; Holmes, 2023).</w:t>
      </w:r>
    </w:p>
    <w:p w14:paraId="3822D923" w14:textId="77777777" w:rsidR="002D4C36" w:rsidRDefault="002D4C36" w:rsidP="002D4C36">
      <w:pPr>
        <w:rPr>
          <w:lang w:val="es-MX"/>
        </w:rPr>
      </w:pPr>
      <w:r w:rsidRPr="002D4C36">
        <w:rPr>
          <w:lang w:val="es-MX"/>
        </w:rPr>
        <w:t>Los ejemplos trabajados ayudan a comprender procedimientos al mostrar decisiones y relaciones entre pasos. La inteligencia artificial puede generar variantes y adaptar explicaciones, aunque también puede ocultar errores dentro de un desarrollo convincente. El diseño debe utilizar fuentes o soluciones verificadas y pedir que el estudiante explique por qué funciona cada paso. Una progresión útil comienza con ejemplos completos, continúa con ejemplos parcialmente resueltos y termina con desempeño independiente. El sistema puede ofrecer pistas graduadas en lugar de revelar la solución. También puede presentar un ejemplo erróneo para que sea diagnosticado, siempre que la actividad indique claramente su propósito. Esta estrategia convierte la falibilidad tecnológica en objeto de análisis y evita que el modelo sea una autoridad. En disciplinas profesionales, los ejemplos deben respetar normas, condiciones y límites reales; una simplificación que ayuda al inicio no debe presentarse como práctica aceptable en contextos de riesgo (</w:t>
      </w:r>
      <w:proofErr w:type="spellStart"/>
      <w:r w:rsidRPr="002D4C36">
        <w:rPr>
          <w:lang w:val="es-MX"/>
        </w:rPr>
        <w:t>VanLehn</w:t>
      </w:r>
      <w:proofErr w:type="spellEnd"/>
      <w:r w:rsidRPr="002D4C36">
        <w:rPr>
          <w:lang w:val="es-MX"/>
        </w:rPr>
        <w:t>, 2011; Kulik &amp; Fletcher, 2016).</w:t>
      </w:r>
    </w:p>
    <w:p w14:paraId="36724DD5" w14:textId="17934EBF" w:rsidR="005506B7" w:rsidRPr="002D4C36" w:rsidRDefault="00E6367D" w:rsidP="002D4C36">
      <w:pPr>
        <w:rPr>
          <w:lang w:val="es-MX"/>
        </w:rPr>
      </w:pPr>
      <w:r>
        <w:rPr>
          <w:noProof/>
          <w:lang w:val="es-MX"/>
        </w:rPr>
        <w:drawing>
          <wp:inline distT="0" distB="0" distL="0" distR="0" wp14:anchorId="5BE048B6" wp14:editId="0940BBD3">
            <wp:extent cx="5399405" cy="3602990"/>
            <wp:effectExtent l="0" t="0" r="0" b="0"/>
            <wp:docPr id="79958193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9405" cy="3602990"/>
                    </a:xfrm>
                    <a:prstGeom prst="rect">
                      <a:avLst/>
                    </a:prstGeom>
                    <a:noFill/>
                    <a:ln>
                      <a:noFill/>
                    </a:ln>
                  </pic:spPr>
                </pic:pic>
              </a:graphicData>
            </a:graphic>
          </wp:inline>
        </w:drawing>
      </w:r>
    </w:p>
    <w:p w14:paraId="2BF0E3BD" w14:textId="61C6E7C9" w:rsidR="002D4C36" w:rsidRPr="002D4C36" w:rsidRDefault="002D4C36" w:rsidP="00B47FBA">
      <w:pPr>
        <w:pStyle w:val="Ttulo3"/>
        <w:rPr>
          <w:lang w:val="es-MX"/>
        </w:rPr>
      </w:pPr>
      <w:bookmarkStart w:id="25" w:name="_Toc239440882"/>
      <w:r w:rsidRPr="002D4C36">
        <w:rPr>
          <w:lang w:val="es-MX"/>
        </w:rPr>
        <w:t>Casos, simulaciones y aprendizaje basado en proyectos</w:t>
      </w:r>
      <w:bookmarkEnd w:id="25"/>
    </w:p>
    <w:p w14:paraId="535DA333" w14:textId="77777777" w:rsidR="002D4C36" w:rsidRPr="002D4C36" w:rsidRDefault="002D4C36" w:rsidP="002D4C36">
      <w:pPr>
        <w:rPr>
          <w:lang w:val="es-MX"/>
        </w:rPr>
      </w:pPr>
      <w:r w:rsidRPr="002D4C36">
        <w:rPr>
          <w:lang w:val="es-MX"/>
        </w:rPr>
        <w:t xml:space="preserve">La enseñanza mediante casos sitúa conocimientos dentro de decisiones complejas. Los modelos generativos pueden producir escenarios, actores y datos iniciales, lo que facilita variar contextos y evitar que toda la clase resuelva el mismo caso. Sin embargo, un caso educativo necesita coherencia interna, realismo y relación con los resultados. El docente debe revisar hechos, eliminar estereotipos y asegurar que existan suficientes evidencias para argumentar. Puede ser </w:t>
      </w:r>
      <w:r w:rsidRPr="002D4C36">
        <w:rPr>
          <w:lang w:val="es-MX"/>
        </w:rPr>
        <w:lastRenderedPageBreak/>
        <w:t>útil construir una plantilla con contexto, problema, restricciones, información disponible y criterios de decisión. La herramienta genera borradores dentro de esa estructura y el especialista valida. Durante la actividad, el sistema puede representar a un actor y responder preguntas, pero debe limitarse a la información del caso. Al finalizar, los estudiantes comparan estrategias y reconocen incertidumbres. El objetivo no es adivinar una respuesta producida por el modelo, sino justificar una decisión con principios y evidencia (</w:t>
      </w:r>
      <w:proofErr w:type="spellStart"/>
      <w:r w:rsidRPr="002D4C36">
        <w:rPr>
          <w:lang w:val="es-MX"/>
        </w:rPr>
        <w:t>Laurillard</w:t>
      </w:r>
      <w:proofErr w:type="spellEnd"/>
      <w:r w:rsidRPr="002D4C36">
        <w:rPr>
          <w:lang w:val="es-MX"/>
        </w:rPr>
        <w:t xml:space="preserve">, 2012; </w:t>
      </w:r>
      <w:proofErr w:type="spellStart"/>
      <w:r w:rsidRPr="002D4C36">
        <w:rPr>
          <w:lang w:val="es-MX"/>
        </w:rPr>
        <w:t>Kasneci</w:t>
      </w:r>
      <w:proofErr w:type="spellEnd"/>
      <w:r w:rsidRPr="002D4C36">
        <w:rPr>
          <w:lang w:val="es-MX"/>
        </w:rPr>
        <w:t xml:space="preserve"> et al., 2023).</w:t>
      </w:r>
    </w:p>
    <w:p w14:paraId="4A4AB7B0" w14:textId="77777777" w:rsidR="002D4C36" w:rsidRPr="002D4C36" w:rsidRDefault="002D4C36" w:rsidP="002D4C36">
      <w:pPr>
        <w:rPr>
          <w:lang w:val="es-MX"/>
        </w:rPr>
      </w:pPr>
      <w:r w:rsidRPr="002D4C36">
        <w:rPr>
          <w:lang w:val="es-MX"/>
        </w:rPr>
        <w:t>Las simulaciones permiten practicar en entornos controlados. En salud, derecho, administración o formación docente, un asistente puede representar una conversación con un paciente, cliente, directivo o estudiante. La calidad depende de un guion pedagógico que defina el rol, los límites, los eventos y las condiciones de cierre. También requiere protocolos para contenido sensible. El sistema no debe sustituir experiencias clínicas ni emitir diagnósticos, pero puede apoyar una preparación inicial o una reflexión posterior. La evaluación debe centrarse en decisiones, comunicación y capacidad de responder a cambios. Después de la simulación, un espacio de análisis ayuda a identificar supuestos y alternativas. Si el modelo ofrece retroalimentación, esta debe vincularse con una rúbrica validada y ser revisable. La inmersión no garantiza aprendizaje; el valor surge de la combinación entre acción, retroalimentación y reflexión (</w:t>
      </w:r>
      <w:proofErr w:type="spellStart"/>
      <w:r w:rsidRPr="002D4C36">
        <w:rPr>
          <w:lang w:val="es-MX"/>
        </w:rPr>
        <w:t>Laurillard</w:t>
      </w:r>
      <w:proofErr w:type="spellEnd"/>
      <w:r w:rsidRPr="002D4C36">
        <w:rPr>
          <w:lang w:val="es-MX"/>
        </w:rPr>
        <w:t xml:space="preserve">, 2012; </w:t>
      </w:r>
      <w:proofErr w:type="spellStart"/>
      <w:r w:rsidRPr="002D4C36">
        <w:rPr>
          <w:lang w:val="es-MX"/>
        </w:rPr>
        <w:t>European</w:t>
      </w:r>
      <w:proofErr w:type="spellEnd"/>
      <w:r w:rsidRPr="002D4C36">
        <w:rPr>
          <w:lang w:val="es-MX"/>
        </w:rPr>
        <w:t xml:space="preserve"> </w:t>
      </w:r>
      <w:proofErr w:type="spellStart"/>
      <w:r w:rsidRPr="002D4C36">
        <w:rPr>
          <w:lang w:val="es-MX"/>
        </w:rPr>
        <w:t>Commission</w:t>
      </w:r>
      <w:proofErr w:type="spellEnd"/>
      <w:r w:rsidRPr="002D4C36">
        <w:rPr>
          <w:lang w:val="es-MX"/>
        </w:rPr>
        <w:t>, 2022).</w:t>
      </w:r>
    </w:p>
    <w:p w14:paraId="2F75C4D0" w14:textId="77777777" w:rsidR="002D4C36" w:rsidRPr="002D4C36" w:rsidRDefault="002D4C36" w:rsidP="002D4C36">
      <w:pPr>
        <w:rPr>
          <w:lang w:val="es-MX"/>
        </w:rPr>
      </w:pPr>
      <w:r w:rsidRPr="002D4C36">
        <w:rPr>
          <w:lang w:val="es-MX"/>
        </w:rPr>
        <w:t>El aprendizaje basado en proyectos puede integrar la inteligencia artificial en diversas fases sin convertirla en autora del producto. Durante la delimitación, puede ayudar a explorar preguntas; en la planificación, a identificar riesgos; en la ejecución, a generar prototipos; y en la revisión, a ofrecer perspectivas. Cada uso debe documentarse y someterse a criterio. Los proyectos auténticos suelen incluir datos locales, decisiones negociadas y productos destinados a una audiencia, lo que dificulta resolverlos con respuestas genéricas. El docente puede solicitar bitácoras, versiones, fuentes y justificaciones. Estas evidencias permiten evaluar el proceso y reconocer contribuciones. También ayudan a detectar dependencia. El grupo debe acordar quién verifica las salidas y cómo se protegen datos. La colaboración se fortalece cuando la herramienta facilita tareas mecánicas y las personas concentran el diálogo en decisiones sustantivas (Biggs &amp; Tang, 2011; UNESCO IESALC, 2023).</w:t>
      </w:r>
    </w:p>
    <w:p w14:paraId="540C2C4A" w14:textId="4C563983" w:rsidR="002D4C36" w:rsidRPr="002D4C36" w:rsidRDefault="002D4C36" w:rsidP="00B47FBA">
      <w:pPr>
        <w:pStyle w:val="Ttulo3"/>
        <w:rPr>
          <w:lang w:val="es-MX"/>
        </w:rPr>
      </w:pPr>
      <w:bookmarkStart w:id="26" w:name="_Toc239440883"/>
      <w:r w:rsidRPr="002D4C36">
        <w:rPr>
          <w:lang w:val="es-MX"/>
        </w:rPr>
        <w:t>Colaboración, multimodalidad y diseño universal</w:t>
      </w:r>
      <w:bookmarkEnd w:id="26"/>
    </w:p>
    <w:p w14:paraId="720BECB8" w14:textId="77777777" w:rsidR="002D4C36" w:rsidRPr="002D4C36" w:rsidRDefault="002D4C36" w:rsidP="002D4C36">
      <w:pPr>
        <w:rPr>
          <w:lang w:val="es-MX"/>
        </w:rPr>
      </w:pPr>
      <w:r w:rsidRPr="002D4C36">
        <w:rPr>
          <w:lang w:val="es-MX"/>
        </w:rPr>
        <w:t xml:space="preserve">La colaboración requiere diseñar interdependencia y responsabilidad individual. Si un integrante utiliza un sistema para producir todo el trabajo, la distribución se vuelve opaca y disminuye el aprendizaje compartido. Es preferible asignar funciones rotativas, como formular, verificar, cuestionar y sintetizar. La inteligencia artificial puede actuar como fuente adicional de propuestas, pero no como miembro que absorbe responsabilidades. Los equipos pueden registrar qué sugerencias adoptaron, cuáles rechazaron y por qué. El docente observa el razonamiento mediante </w:t>
      </w:r>
      <w:r w:rsidRPr="002D4C36">
        <w:rPr>
          <w:lang w:val="es-MX"/>
        </w:rPr>
        <w:lastRenderedPageBreak/>
        <w:t>reuniones, entregas parciales y defensa. También debe cuidar que el acceso desigual a servicios de pago no determine el desempeño. Proporcionar una herramienta institucional o diseñar alternativas equivalentes ayuda a mantener equidad. La competencia colaborativa se demuestra en la capacidad de negociar evidencia y construir una respuesta común, no en la suma de textos generados individualmente (UNESCO, 2021; OECD, 2026).</w:t>
      </w:r>
    </w:p>
    <w:p w14:paraId="4E8546E1" w14:textId="77777777" w:rsidR="002D4C36" w:rsidRPr="002D4C36" w:rsidRDefault="002D4C36" w:rsidP="002D4C36">
      <w:pPr>
        <w:rPr>
          <w:lang w:val="es-MX"/>
        </w:rPr>
      </w:pPr>
      <w:r w:rsidRPr="002D4C36">
        <w:rPr>
          <w:lang w:val="es-MX"/>
        </w:rPr>
        <w:t>El aprendizaje multimodal combina texto, imagen, audio, video, modelos y representaciones interactivas. La inteligencia artificial puede transformar formatos, describir imágenes, transcribir y generar apoyos. Los principios del aprendizaje multimedia advierten que añadir elementos no siempre mejora la comprensión. La selección debe reducir carga irrelevante, destacar relaciones y coordinar palabras con representaciones. Una imagen generada puede apoyar visualización, pero necesita exactitud y atribución. Las transcripciones requieren revisión, especialmente en terminología especializada. Las descripciones alternativas deben comunicar la función educativa de la imagen, no solo enumerar objetos. El docente debe ofrecer opciones cuando un formato crea barreras y verificar compatibilidad con tecnologías de apoyo. La multimodalidad adquiere valor cuando permite acceder y expresar conocimiento de maneras pertinentes, no cuando multiplica estímulos sin propósito (Mayer, 2021; CAST, 2024).</w:t>
      </w:r>
    </w:p>
    <w:p w14:paraId="69FCFF46" w14:textId="77777777" w:rsidR="002D4C36" w:rsidRPr="002D4C36" w:rsidRDefault="002D4C36" w:rsidP="002D4C36">
      <w:pPr>
        <w:rPr>
          <w:lang w:val="es-MX"/>
        </w:rPr>
      </w:pPr>
      <w:r w:rsidRPr="002D4C36">
        <w:rPr>
          <w:lang w:val="es-MX"/>
        </w:rPr>
        <w:t>El Diseño Universal para el Aprendizaje propone ofrecer múltiples formas de implicación, representación y acción. La inteligencia artificial puede facilitar materiales con diferentes niveles de apoyo, formatos y modos de respuesta. Sin embargo, adaptar no significa reducir expectativas ni separar tempranamente. Los resultados esenciales deben mantenerse, mientras se flexibilizan caminos y apoyos. Una explicación simplificada puede servir como puente hacia el texto disciplinar, no como sustituto permanente. Los estudiantes deben poder elegir formatos y comprender qué competencia demuestra cada uno. La personalización requiere proteger datos sobre discapacidad y evitar inferencias no solicitadas. La participación de usuarios con necesidades diversas es indispensable para evaluar accesibilidad real. Diseñar desde la diversidad beneficia a toda la clase y reduce la necesidad de correcciones posteriores. La inteligencia artificial es un medio posible dentro de este enfoque, no su fundamento pedagógico (CAST, 2024; UNESCO, 2021).</w:t>
      </w:r>
    </w:p>
    <w:p w14:paraId="29DA22F5" w14:textId="38E33FBA" w:rsidR="002D4C36" w:rsidRPr="002D4C36" w:rsidRDefault="002D4C36" w:rsidP="00B47FBA">
      <w:pPr>
        <w:pStyle w:val="Ttulo3"/>
        <w:rPr>
          <w:lang w:val="es-MX"/>
        </w:rPr>
      </w:pPr>
      <w:bookmarkStart w:id="27" w:name="_Toc239440884"/>
      <w:r w:rsidRPr="002D4C36">
        <w:rPr>
          <w:lang w:val="es-MX"/>
        </w:rPr>
        <w:t>Instrucciones, flujo de trabajo y evaluación de la experiencia</w:t>
      </w:r>
      <w:bookmarkEnd w:id="27"/>
    </w:p>
    <w:p w14:paraId="307BD484" w14:textId="77777777" w:rsidR="002D4C36" w:rsidRPr="002D4C36" w:rsidRDefault="002D4C36" w:rsidP="002D4C36">
      <w:pPr>
        <w:rPr>
          <w:lang w:val="es-MX"/>
        </w:rPr>
      </w:pPr>
      <w:r w:rsidRPr="002D4C36">
        <w:rPr>
          <w:lang w:val="es-MX"/>
        </w:rPr>
        <w:t xml:space="preserve">La redacción de instrucciones para una actividad con inteligencia artificial debe indicar propósito, producto, proceso y límites. El estudiante necesita saber qué herramientas puede usar, en qué etapas, cómo declarar su uso y qué información no debe compartir. También debe conocer los criterios con los que se evaluará. Las instrucciones pueden incluir preguntas de verificación, como qué afirmaciones fueron contrastadas, qué fuentes se consultaron y qué cambios introdujo la persona. La transparencia reduce ambigüedad y permite que la integridad se trate de manera </w:t>
      </w:r>
      <w:r w:rsidRPr="002D4C36">
        <w:rPr>
          <w:lang w:val="es-MX"/>
        </w:rPr>
        <w:lastRenderedPageBreak/>
        <w:t>formativa. Las reglas deben corresponder al resultado. En una actividad para practicar formulación de instrucciones, el uso es central; en una evaluación de desempeño independiente, puede restringirse. La política institucional ofrece principios comunes, pero cada asignatura necesita traducirlos a situaciones concretas y comunicar cambios con antelación (Miao &amp; Holmes, 2023; UNESCO IESALC, 2023).</w:t>
      </w:r>
    </w:p>
    <w:p w14:paraId="199498AF" w14:textId="77777777" w:rsidR="002D4C36" w:rsidRPr="002D4C36" w:rsidRDefault="002D4C36" w:rsidP="002D4C36">
      <w:pPr>
        <w:rPr>
          <w:lang w:val="es-MX"/>
        </w:rPr>
      </w:pPr>
      <w:r w:rsidRPr="002D4C36">
        <w:rPr>
          <w:lang w:val="es-MX"/>
        </w:rPr>
        <w:t>El flujo de trabajo puede organizarse en momentos antes, durante y después del uso. Antes, el estudiante formula una idea, activa conocimientos y define criterios. Durante, interactúa con el sistema, conserva decisiones relevantes y verifica. Después, revisa, integra y explica su autoría. Esta secuencia evita que la consulta sea el primer y único acto cognitivo. El docente puede modelar el proceso mediante una demostración en la que muestra errores y correcciones. También puede ofrecer una lista breve de fuentes autorizadas o un protocolo de comprobación. El registro no necesita incluir conversaciones completas si contienen datos o generan carga excesiva; una síntesis razonada suele ser suficiente. Lo que importa es hacer visible la relación entre asistencia y aprendizaje. La evidencia del proceso debe ser proporcional y no convertirse en vigilancia continua (</w:t>
      </w:r>
      <w:proofErr w:type="spellStart"/>
      <w:r w:rsidRPr="002D4C36">
        <w:rPr>
          <w:lang w:val="es-MX"/>
        </w:rPr>
        <w:t>Kasneci</w:t>
      </w:r>
      <w:proofErr w:type="spellEnd"/>
      <w:r w:rsidRPr="002D4C36">
        <w:rPr>
          <w:lang w:val="es-MX"/>
        </w:rPr>
        <w:t xml:space="preserve"> et al., 2023; OECD, 2026).</w:t>
      </w:r>
    </w:p>
    <w:p w14:paraId="7056DCAB" w14:textId="77777777" w:rsidR="002D4C36" w:rsidRPr="002D4C36" w:rsidRDefault="002D4C36" w:rsidP="002D4C36">
      <w:pPr>
        <w:rPr>
          <w:lang w:val="es-MX"/>
        </w:rPr>
      </w:pPr>
      <w:r w:rsidRPr="002D4C36">
        <w:rPr>
          <w:lang w:val="es-MX"/>
        </w:rPr>
        <w:t>La evaluación de la experiencia debe combinar calidad del producto, evidencia del proceso y percepción de los participantes. Un resultado más pulido no demuestra mayor aprendizaje. Conviene utilizar tareas iniciales y finales, preguntas de transferencia, análisis de errores y observación de autonomía. También se examinan diferencias entre grupos, accesibilidad, carga docente y costos. Las encuestas de satisfacción aportan información, pero pueden reflejar novedad o facilidad. Un piloto permite probar con una cohorte, comparar con la práctica previa y ajustar. La institución debe documentar versión de la herramienta y condiciones, porque el desempeño puede cambiar. Si la intervención no mejora los resultados o produce dependencia, corresponde modificarla o retirarla. La innovación pedagógica necesita el mismo rigor que se exige a otras decisiones curriculares (Bond et al., 2024; Tabassi, 2023).</w:t>
      </w:r>
    </w:p>
    <w:p w14:paraId="4F5C7CF6" w14:textId="1088A076" w:rsidR="002D4C36" w:rsidRPr="002D4C36" w:rsidRDefault="002D4C36" w:rsidP="00B47FBA">
      <w:pPr>
        <w:pStyle w:val="Ttulo2"/>
        <w:rPr>
          <w:lang w:val="es-MX"/>
        </w:rPr>
      </w:pPr>
      <w:bookmarkStart w:id="28" w:name="_Toc239440885"/>
      <w:r w:rsidRPr="002D4C36">
        <w:rPr>
          <w:lang w:val="es-MX"/>
        </w:rPr>
        <w:t>Personalización y aprendizaje adaptativo</w:t>
      </w:r>
      <w:bookmarkEnd w:id="28"/>
    </w:p>
    <w:p w14:paraId="2A32D87D" w14:textId="43425345" w:rsidR="002D4C36" w:rsidRPr="002D4C36" w:rsidRDefault="002D4C36" w:rsidP="00B47FBA">
      <w:pPr>
        <w:pStyle w:val="Ttulo3"/>
        <w:rPr>
          <w:lang w:val="es-MX"/>
        </w:rPr>
      </w:pPr>
      <w:bookmarkStart w:id="29" w:name="_Toc239440886"/>
      <w:r w:rsidRPr="002D4C36">
        <w:rPr>
          <w:lang w:val="es-MX"/>
        </w:rPr>
        <w:t>Alcance, dimensiones y diagnóstico inicial</w:t>
      </w:r>
      <w:bookmarkEnd w:id="29"/>
    </w:p>
    <w:p w14:paraId="7BA7F532" w14:textId="77777777" w:rsidR="002D4C36" w:rsidRPr="002D4C36" w:rsidRDefault="002D4C36" w:rsidP="002D4C36">
      <w:pPr>
        <w:rPr>
          <w:lang w:val="es-MX"/>
        </w:rPr>
      </w:pPr>
      <w:r w:rsidRPr="002D4C36">
        <w:rPr>
          <w:lang w:val="es-MX"/>
        </w:rPr>
        <w:t xml:space="preserve">La personalización educativa adapta elementos de la experiencia a necesidades, conocimientos, intereses o metas. El aprendizaje adaptativo constituye una forma específica en la que un sistema modifica contenido, secuencia, dificultad o retroalimentación a partir de datos. No toda personalización utiliza inteligencia artificial y no todo sistema de inteligencia artificial personaliza. Esta distinción evita atribuir valor automático a la tecnología. Un docente que ofrece opciones y apoyos diferenciados ya personaliza mediante juicio profesional. Un sistema puede ampliar esa capacidad en grupos numerosos, pero trabaja con representaciones parciales. El objetivo no es crear una ruta aislada para cada estudiante, sino ofrecer apoyos pertinentes mientras </w:t>
      </w:r>
      <w:r w:rsidRPr="002D4C36">
        <w:rPr>
          <w:lang w:val="es-MX"/>
        </w:rPr>
        <w:lastRenderedPageBreak/>
        <w:t>se preservan resultados comunes, interacción social y posibilidad de elección. La investigación identifica beneficios potenciales, aunque también señala heterogeneidad de diseños y necesidad de mayor rigor en educación superior (</w:t>
      </w:r>
      <w:proofErr w:type="spellStart"/>
      <w:r w:rsidRPr="002D4C36">
        <w:rPr>
          <w:lang w:val="es-MX"/>
        </w:rPr>
        <w:t>Fariani</w:t>
      </w:r>
      <w:proofErr w:type="spellEnd"/>
      <w:r w:rsidRPr="002D4C36">
        <w:rPr>
          <w:lang w:val="es-MX"/>
        </w:rPr>
        <w:t xml:space="preserve"> et al., 2023; Bond et al., 2024).</w:t>
      </w:r>
    </w:p>
    <w:p w14:paraId="75766B6F" w14:textId="77777777" w:rsidR="002D4C36" w:rsidRPr="002D4C36" w:rsidRDefault="002D4C36" w:rsidP="002D4C36">
      <w:pPr>
        <w:rPr>
          <w:lang w:val="es-MX"/>
        </w:rPr>
      </w:pPr>
      <w:r w:rsidRPr="002D4C36">
        <w:rPr>
          <w:lang w:val="es-MX"/>
        </w:rPr>
        <w:t>La personalización puede actuar sobre contenido, ritmo, secuencia, apoyo, interfaz o forma de demostrar aprendizaje. Cada dimensión plantea decisiones distintas. Adaptar el ritmo permite dedicar más tiempo a un concepto, pero puede retrasar indefinidamente el acceso a tareas complejas. Adaptar contenido puede conectar con intereses, aunque debe asegurar cobertura de conocimientos esenciales. Modificar la interfaz puede mejorar accesibilidad sin cambiar el nivel académico. Variar la retroalimentación puede orientar errores específicos. Antes de implementar, el docente debe definir qué dimensión es flexible y cuál se mantiene. También conviene decidir cuándo termina la adaptación y cómo vuelve el estudiante a una trayectoria común. Sin estos límites, el sistema puede fragmentar el curso en experiencias difíciles de supervisar y generar diferencias de oportunidad (Molenaar, 2022; OECD, 2026).</w:t>
      </w:r>
    </w:p>
    <w:p w14:paraId="5B046D4B" w14:textId="77777777" w:rsidR="002D4C36" w:rsidRDefault="002D4C36" w:rsidP="002D4C36">
      <w:pPr>
        <w:rPr>
          <w:lang w:val="es-MX"/>
        </w:rPr>
      </w:pPr>
      <w:r w:rsidRPr="002D4C36">
        <w:rPr>
          <w:lang w:val="es-MX"/>
        </w:rPr>
        <w:t>El diagnóstico inicial estima conocimientos previos y necesidades. Puede incluir preguntas, tareas breves, autoevaluación y revisión de antecedentes pertinentes. La inteligencia artificial ayuda a analizar respuestas abiertas o seleccionar actividades, pero el diagnóstico no debe convertirse en etiqueta definitiva. El desempeño inicial está influido por familiaridad, idioma, ansiedad y condiciones de acceso. Es mejor representar un perfil provisional con incertidumbre y actualizarlo mediante nuevas evidencias. Los estudiantes deben conocer el propósito y recibir una oportunidad para demostrar progreso. En cursos universitarios, el diagnóstico puede orientar recursos de nivelación sin excluir de contenidos centrales. Cuando identifica una carencia, la respuesta debe ser apoyo concreto. Recopilar información sin capacidad de actuar genera expectativas y riesgos de privacidad. La validez del diagnóstico depende de su relación con las competencias del curso y de la calidad de las tareas (Biggs &amp; Tang, 2011; Tabassi, 2023).</w:t>
      </w:r>
    </w:p>
    <w:p w14:paraId="2BE999C0" w14:textId="2D2A1172" w:rsidR="001B492D" w:rsidRPr="002D4C36" w:rsidRDefault="00514EC7" w:rsidP="002D4C36">
      <w:pPr>
        <w:rPr>
          <w:lang w:val="es-MX"/>
        </w:rPr>
      </w:pPr>
      <w:r>
        <w:rPr>
          <w:noProof/>
          <w:lang w:val="es-MX"/>
        </w:rPr>
        <w:lastRenderedPageBreak/>
        <w:drawing>
          <wp:inline distT="0" distB="0" distL="0" distR="0" wp14:anchorId="01162BF0" wp14:editId="41EC0F71">
            <wp:extent cx="5399405" cy="3602990"/>
            <wp:effectExtent l="0" t="0" r="0" b="0"/>
            <wp:docPr id="179512585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99405" cy="3602990"/>
                    </a:xfrm>
                    <a:prstGeom prst="rect">
                      <a:avLst/>
                    </a:prstGeom>
                    <a:noFill/>
                    <a:ln>
                      <a:noFill/>
                    </a:ln>
                  </pic:spPr>
                </pic:pic>
              </a:graphicData>
            </a:graphic>
          </wp:inline>
        </w:drawing>
      </w:r>
    </w:p>
    <w:p w14:paraId="53E1CCB5" w14:textId="103446A6" w:rsidR="002D4C36" w:rsidRPr="002D4C36" w:rsidRDefault="002D4C36" w:rsidP="00B47FBA">
      <w:pPr>
        <w:pStyle w:val="Ttulo3"/>
        <w:rPr>
          <w:lang w:val="es-MX"/>
        </w:rPr>
      </w:pPr>
      <w:bookmarkStart w:id="30" w:name="_Toc239440887"/>
      <w:r w:rsidRPr="002D4C36">
        <w:rPr>
          <w:lang w:val="es-MX"/>
        </w:rPr>
        <w:t>Modelos de dominio, perfiles y rutas adaptativas</w:t>
      </w:r>
      <w:bookmarkEnd w:id="30"/>
    </w:p>
    <w:p w14:paraId="18771C44" w14:textId="77777777" w:rsidR="002D4C36" w:rsidRPr="002D4C36" w:rsidRDefault="002D4C36" w:rsidP="002D4C36">
      <w:pPr>
        <w:rPr>
          <w:lang w:val="es-MX"/>
        </w:rPr>
      </w:pPr>
      <w:r w:rsidRPr="002D4C36">
        <w:rPr>
          <w:lang w:val="es-MX"/>
        </w:rPr>
        <w:t xml:space="preserve">Los modelos de dominio descomponen una materia en conceptos, habilidades y relaciones. Esta estructura permite seleccionar actividades según </w:t>
      </w:r>
      <w:proofErr w:type="spellStart"/>
      <w:r w:rsidRPr="002D4C36">
        <w:rPr>
          <w:lang w:val="es-MX"/>
        </w:rPr>
        <w:t>prerequisitos</w:t>
      </w:r>
      <w:proofErr w:type="spellEnd"/>
      <w:r w:rsidRPr="002D4C36">
        <w:rPr>
          <w:lang w:val="es-MX"/>
        </w:rPr>
        <w:t xml:space="preserve">, pero ninguna disciplina se reduce completamente a una red estable. En áreas interpretativas, existen perspectivas y argumentos legítimos; en ciencias aplicadas, el contexto modifica decisiones. El mapa debe ser revisado por especialistas y vinculado con el currículo. Si se automatiza la secuencia, el docente necesita ver qué reglas utiliza y poder intervenir. También conviene evitar una fragmentación excesiva que transforme el aprendizaje en acumulación de </w:t>
      </w:r>
      <w:proofErr w:type="spellStart"/>
      <w:r w:rsidRPr="002D4C36">
        <w:rPr>
          <w:lang w:val="es-MX"/>
        </w:rPr>
        <w:t>microhabilidades</w:t>
      </w:r>
      <w:proofErr w:type="spellEnd"/>
      <w:r w:rsidRPr="002D4C36">
        <w:rPr>
          <w:lang w:val="es-MX"/>
        </w:rPr>
        <w:t>. Las tareas de integración permiten conectar conceptos y transferirlos a problemas nuevos. La adaptación debe apoyar la construcción de una visión coherente del campo, no solo optimizar respuestas aisladas (</w:t>
      </w:r>
      <w:proofErr w:type="spellStart"/>
      <w:r w:rsidRPr="002D4C36">
        <w:rPr>
          <w:lang w:val="es-MX"/>
        </w:rPr>
        <w:t>VanLehn</w:t>
      </w:r>
      <w:proofErr w:type="spellEnd"/>
      <w:r w:rsidRPr="002D4C36">
        <w:rPr>
          <w:lang w:val="es-MX"/>
        </w:rPr>
        <w:t xml:space="preserve">, 2011; </w:t>
      </w:r>
      <w:proofErr w:type="spellStart"/>
      <w:r w:rsidRPr="002D4C36">
        <w:rPr>
          <w:lang w:val="es-MX"/>
        </w:rPr>
        <w:t>Laurillard</w:t>
      </w:r>
      <w:proofErr w:type="spellEnd"/>
      <w:r w:rsidRPr="002D4C36">
        <w:rPr>
          <w:lang w:val="es-MX"/>
        </w:rPr>
        <w:t>, 2012).</w:t>
      </w:r>
    </w:p>
    <w:p w14:paraId="2C840E62" w14:textId="77777777" w:rsidR="002D4C36" w:rsidRPr="002D4C36" w:rsidRDefault="002D4C36" w:rsidP="002D4C36">
      <w:pPr>
        <w:rPr>
          <w:lang w:val="es-MX"/>
        </w:rPr>
      </w:pPr>
      <w:r w:rsidRPr="002D4C36">
        <w:rPr>
          <w:lang w:val="es-MX"/>
        </w:rPr>
        <w:t xml:space="preserve">El perfil del estudiante se construye con evidencias como respuestas, intentos, tiempos y solicitudes de ayuda. Estos datos no representan motivación, capacidad ni identidad de forma directa. Un tiempo prolongado puede indicar reflexión o dificultad; pocos accesos pueden reflejar dominio o desconexión. El sistema debe evitar inferencias amplias y utilizar solo información necesaria. También necesita permitir corrección y mostrar de manera comprensible qué factores influyen. Las características sensibles no deberían emplearse para limitar oportunidades. En lugar de predecir quién puede aprender, la personalización debería preguntar qué apoyo puede facilitar el siguiente paso. Esta orientación cambia el foco desde clasificar personas hacia diseñar condiciones. La representación debe conservar incertidumbre y posibilidad de cambio, porque </w:t>
      </w:r>
      <w:r w:rsidRPr="002D4C36">
        <w:rPr>
          <w:lang w:val="es-MX"/>
        </w:rPr>
        <w:lastRenderedPageBreak/>
        <w:t>aprender significa precisamente modificar el estado inicial (Slade &amp; Prinsloo, 2013; UNESCO, 2021).</w:t>
      </w:r>
    </w:p>
    <w:p w14:paraId="6128897C" w14:textId="77777777" w:rsidR="002D4C36" w:rsidRPr="002D4C36" w:rsidRDefault="002D4C36" w:rsidP="002D4C36">
      <w:pPr>
        <w:rPr>
          <w:lang w:val="es-MX"/>
        </w:rPr>
      </w:pPr>
      <w:r w:rsidRPr="002D4C36">
        <w:rPr>
          <w:lang w:val="es-MX"/>
        </w:rPr>
        <w:t xml:space="preserve">Las rutas adaptativas suelen seleccionar el siguiente recurso según desempeño. Una regla simple puede ofrecer una explicación adicional después de errores y avanzar tras evidencia suficiente. Modelos más complejos estiman dominio y probabilidad de éxito. La decisión debe equilibrar desafío y apoyo. Si la tarea es demasiado sencilla, disminuye el esfuerzo; si resulta inalcanzable, aumenta frustración. Sin embargo, mantener siempre al estudiante en una zona calculada puede reducir exploración. El diseño debe incluir elecciones, tareas abiertas y oportunidades de intentar contenidos exigentes. También necesita rutas de salida para evitar ciclos repetitivos. El docente puede revisar patrones y modificar reglas. Una ruta adaptativa es una recomendación pedagógica revisable, no una trayectoria obligatoria determinada por el pasado (Molenaar, 2022; </w:t>
      </w:r>
      <w:proofErr w:type="spellStart"/>
      <w:r w:rsidRPr="002D4C36">
        <w:rPr>
          <w:lang w:val="es-MX"/>
        </w:rPr>
        <w:t>Fariani</w:t>
      </w:r>
      <w:proofErr w:type="spellEnd"/>
      <w:r w:rsidRPr="002D4C36">
        <w:rPr>
          <w:lang w:val="es-MX"/>
        </w:rPr>
        <w:t xml:space="preserve"> et al., 2023).</w:t>
      </w:r>
    </w:p>
    <w:p w14:paraId="6B2F499D" w14:textId="5EED3A43" w:rsidR="002D4C36" w:rsidRPr="002D4C36" w:rsidRDefault="002D4C36" w:rsidP="002D4C36">
      <w:pPr>
        <w:rPr>
          <w:lang w:val="es-MX"/>
        </w:rPr>
      </w:pPr>
      <w:r w:rsidRPr="002D4C36">
        <w:rPr>
          <w:b/>
          <w:bCs/>
          <w:lang w:val="es-MX"/>
        </w:rPr>
        <w:t xml:space="preserve">Tabla </w:t>
      </w:r>
      <w:r w:rsidR="00FA6F60">
        <w:rPr>
          <w:b/>
          <w:bCs/>
          <w:lang w:val="es-MX"/>
        </w:rPr>
        <w:t>2</w:t>
      </w:r>
      <w:r w:rsidRPr="002D4C36">
        <w:rPr>
          <w:b/>
          <w:bCs/>
          <w:lang w:val="es-MX"/>
        </w:rPr>
        <w:t>.2. Componentes de un sistema de aprendizaje adaptativo</w:t>
      </w:r>
    </w:p>
    <w:tbl>
      <w:tblPr>
        <w:tblStyle w:val="Tablanormal2"/>
        <w:tblW w:w="8392" w:type="dxa"/>
        <w:tblLook w:val="04A0" w:firstRow="1" w:lastRow="0" w:firstColumn="1" w:lastColumn="0" w:noHBand="0" w:noVBand="1"/>
      </w:tblPr>
      <w:tblGrid>
        <w:gridCol w:w="2098"/>
        <w:gridCol w:w="2098"/>
        <w:gridCol w:w="2098"/>
        <w:gridCol w:w="2098"/>
      </w:tblGrid>
      <w:tr w:rsidR="002D4C36" w:rsidRPr="002D4C36" w14:paraId="2D4B7D1A" w14:textId="77777777" w:rsidTr="002112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1027F7A3" w14:textId="77777777" w:rsidR="002D4C36" w:rsidRPr="0009216A" w:rsidRDefault="002D4C36" w:rsidP="0009216A">
            <w:pPr>
              <w:spacing w:before="0" w:after="0" w:line="240" w:lineRule="auto"/>
              <w:jc w:val="center"/>
              <w:rPr>
                <w:sz w:val="20"/>
                <w:szCs w:val="20"/>
                <w:lang w:val="es-MX"/>
              </w:rPr>
            </w:pPr>
            <w:r w:rsidRPr="0009216A">
              <w:rPr>
                <w:sz w:val="20"/>
                <w:szCs w:val="20"/>
                <w:lang w:val="es-MX"/>
              </w:rPr>
              <w:t>Componente</w:t>
            </w:r>
          </w:p>
        </w:tc>
        <w:tc>
          <w:tcPr>
            <w:tcW w:w="2098" w:type="dxa"/>
            <w:hideMark/>
          </w:tcPr>
          <w:p w14:paraId="6853D565" w14:textId="77777777" w:rsidR="002D4C36" w:rsidRPr="0009216A" w:rsidRDefault="002D4C36" w:rsidP="0009216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Función</w:t>
            </w:r>
          </w:p>
        </w:tc>
        <w:tc>
          <w:tcPr>
            <w:tcW w:w="2098" w:type="dxa"/>
            <w:hideMark/>
          </w:tcPr>
          <w:p w14:paraId="732E71D5" w14:textId="77777777" w:rsidR="002D4C36" w:rsidRPr="0009216A" w:rsidRDefault="002D4C36" w:rsidP="0009216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Decisión pedagógica</w:t>
            </w:r>
          </w:p>
        </w:tc>
        <w:tc>
          <w:tcPr>
            <w:tcW w:w="2098" w:type="dxa"/>
            <w:hideMark/>
          </w:tcPr>
          <w:p w14:paraId="57D1F908" w14:textId="77777777" w:rsidR="002D4C36" w:rsidRPr="0009216A" w:rsidRDefault="002D4C36" w:rsidP="0009216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Riesgo principal</w:t>
            </w:r>
          </w:p>
        </w:tc>
      </w:tr>
      <w:tr w:rsidR="002D4C36" w:rsidRPr="002D4C36" w14:paraId="659EE25E"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440B1614" w14:textId="77777777" w:rsidR="002D4C36" w:rsidRPr="0009216A" w:rsidRDefault="002D4C36" w:rsidP="0009216A">
            <w:pPr>
              <w:spacing w:before="0" w:after="0" w:line="240" w:lineRule="auto"/>
              <w:jc w:val="left"/>
              <w:rPr>
                <w:sz w:val="20"/>
                <w:szCs w:val="20"/>
                <w:lang w:val="es-MX"/>
              </w:rPr>
            </w:pPr>
            <w:r w:rsidRPr="0009216A">
              <w:rPr>
                <w:sz w:val="20"/>
                <w:szCs w:val="20"/>
                <w:lang w:val="es-MX"/>
              </w:rPr>
              <w:t>Modelo de dominio</w:t>
            </w:r>
          </w:p>
        </w:tc>
        <w:tc>
          <w:tcPr>
            <w:tcW w:w="2098" w:type="dxa"/>
            <w:hideMark/>
          </w:tcPr>
          <w:p w14:paraId="785AC99D"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Representa conceptos y relaciones</w:t>
            </w:r>
          </w:p>
        </w:tc>
        <w:tc>
          <w:tcPr>
            <w:tcW w:w="2098" w:type="dxa"/>
            <w:hideMark/>
          </w:tcPr>
          <w:p w14:paraId="4DF58FC2"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Definir conocimientos esenciales</w:t>
            </w:r>
          </w:p>
        </w:tc>
        <w:tc>
          <w:tcPr>
            <w:tcW w:w="2098" w:type="dxa"/>
            <w:hideMark/>
          </w:tcPr>
          <w:p w14:paraId="6098EBE7"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Simplificar en exceso la disciplina</w:t>
            </w:r>
          </w:p>
        </w:tc>
      </w:tr>
      <w:tr w:rsidR="002D4C36" w:rsidRPr="002D4C36" w14:paraId="26E5C11C" w14:textId="77777777" w:rsidTr="002112B8">
        <w:tc>
          <w:tcPr>
            <w:cnfStyle w:val="001000000000" w:firstRow="0" w:lastRow="0" w:firstColumn="1" w:lastColumn="0" w:oddVBand="0" w:evenVBand="0" w:oddHBand="0" w:evenHBand="0" w:firstRowFirstColumn="0" w:firstRowLastColumn="0" w:lastRowFirstColumn="0" w:lastRowLastColumn="0"/>
            <w:tcW w:w="2098" w:type="dxa"/>
            <w:hideMark/>
          </w:tcPr>
          <w:p w14:paraId="1B5F2E1B" w14:textId="77777777" w:rsidR="002D4C36" w:rsidRPr="0009216A" w:rsidRDefault="002D4C36" w:rsidP="0009216A">
            <w:pPr>
              <w:spacing w:before="0" w:after="0" w:line="240" w:lineRule="auto"/>
              <w:jc w:val="left"/>
              <w:rPr>
                <w:sz w:val="20"/>
                <w:szCs w:val="20"/>
                <w:lang w:val="es-MX"/>
              </w:rPr>
            </w:pPr>
            <w:r w:rsidRPr="0009216A">
              <w:rPr>
                <w:sz w:val="20"/>
                <w:szCs w:val="20"/>
                <w:lang w:val="es-MX"/>
              </w:rPr>
              <w:t>Perfil del estudiante</w:t>
            </w:r>
          </w:p>
        </w:tc>
        <w:tc>
          <w:tcPr>
            <w:tcW w:w="2098" w:type="dxa"/>
            <w:hideMark/>
          </w:tcPr>
          <w:p w14:paraId="2D788240"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Sintetiza evidencias de desempeño</w:t>
            </w:r>
          </w:p>
        </w:tc>
        <w:tc>
          <w:tcPr>
            <w:tcW w:w="2098" w:type="dxa"/>
            <w:hideMark/>
          </w:tcPr>
          <w:p w14:paraId="03298CD2"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Tratarlo como hipótesis revisable</w:t>
            </w:r>
          </w:p>
        </w:tc>
        <w:tc>
          <w:tcPr>
            <w:tcW w:w="2098" w:type="dxa"/>
            <w:hideMark/>
          </w:tcPr>
          <w:p w14:paraId="6C0C1746"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Convertir datos parciales en identidad</w:t>
            </w:r>
          </w:p>
        </w:tc>
      </w:tr>
      <w:tr w:rsidR="002D4C36" w:rsidRPr="002D4C36" w14:paraId="30CCB0A5"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572E1022" w14:textId="77777777" w:rsidR="002D4C36" w:rsidRPr="0009216A" w:rsidRDefault="002D4C36" w:rsidP="0009216A">
            <w:pPr>
              <w:spacing w:before="0" w:after="0" w:line="240" w:lineRule="auto"/>
              <w:jc w:val="left"/>
              <w:rPr>
                <w:sz w:val="20"/>
                <w:szCs w:val="20"/>
                <w:lang w:val="es-MX"/>
              </w:rPr>
            </w:pPr>
            <w:r w:rsidRPr="0009216A">
              <w:rPr>
                <w:sz w:val="20"/>
                <w:szCs w:val="20"/>
                <w:lang w:val="es-MX"/>
              </w:rPr>
              <w:t>Motor adaptativo</w:t>
            </w:r>
          </w:p>
        </w:tc>
        <w:tc>
          <w:tcPr>
            <w:tcW w:w="2098" w:type="dxa"/>
            <w:hideMark/>
          </w:tcPr>
          <w:p w14:paraId="1D2DD4B3"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Selecciona recursos o dificultad</w:t>
            </w:r>
          </w:p>
        </w:tc>
        <w:tc>
          <w:tcPr>
            <w:tcW w:w="2098" w:type="dxa"/>
            <w:hideMark/>
          </w:tcPr>
          <w:p w14:paraId="0245A389"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Mantener opciones y rutas de salida</w:t>
            </w:r>
          </w:p>
        </w:tc>
        <w:tc>
          <w:tcPr>
            <w:tcW w:w="2098" w:type="dxa"/>
            <w:hideMark/>
          </w:tcPr>
          <w:p w14:paraId="449F5D57" w14:textId="77777777" w:rsidR="002D4C36" w:rsidRPr="0009216A" w:rsidRDefault="002D4C36" w:rsidP="0009216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09216A">
              <w:rPr>
                <w:sz w:val="20"/>
                <w:szCs w:val="20"/>
                <w:lang w:val="es-MX"/>
              </w:rPr>
              <w:t>Encerrar al estudiante en una trayectoria</w:t>
            </w:r>
          </w:p>
        </w:tc>
      </w:tr>
      <w:tr w:rsidR="002D4C36" w:rsidRPr="00F46565" w14:paraId="4A383B96" w14:textId="77777777" w:rsidTr="002112B8">
        <w:tc>
          <w:tcPr>
            <w:cnfStyle w:val="001000000000" w:firstRow="0" w:lastRow="0" w:firstColumn="1" w:lastColumn="0" w:oddVBand="0" w:evenVBand="0" w:oddHBand="0" w:evenHBand="0" w:firstRowFirstColumn="0" w:firstRowLastColumn="0" w:lastRowFirstColumn="0" w:lastRowLastColumn="0"/>
            <w:tcW w:w="2098" w:type="dxa"/>
            <w:hideMark/>
          </w:tcPr>
          <w:p w14:paraId="37A172D9" w14:textId="77777777" w:rsidR="002D4C36" w:rsidRPr="0009216A" w:rsidRDefault="002D4C36" w:rsidP="0009216A">
            <w:pPr>
              <w:spacing w:before="0" w:after="0" w:line="240" w:lineRule="auto"/>
              <w:jc w:val="left"/>
              <w:rPr>
                <w:sz w:val="20"/>
                <w:szCs w:val="20"/>
                <w:lang w:val="es-MX"/>
              </w:rPr>
            </w:pPr>
            <w:r w:rsidRPr="0009216A">
              <w:rPr>
                <w:sz w:val="20"/>
                <w:szCs w:val="20"/>
                <w:lang w:val="es-MX"/>
              </w:rPr>
              <w:t>Interfaz y tablero</w:t>
            </w:r>
          </w:p>
        </w:tc>
        <w:tc>
          <w:tcPr>
            <w:tcW w:w="2098" w:type="dxa"/>
            <w:hideMark/>
          </w:tcPr>
          <w:p w14:paraId="47BFBE8E"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Comunica avances y recomendaciones</w:t>
            </w:r>
          </w:p>
        </w:tc>
        <w:tc>
          <w:tcPr>
            <w:tcW w:w="2098" w:type="dxa"/>
            <w:hideMark/>
          </w:tcPr>
          <w:p w14:paraId="21FE319E"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09216A">
              <w:rPr>
                <w:sz w:val="20"/>
                <w:szCs w:val="20"/>
                <w:lang w:val="es-MX"/>
              </w:rPr>
              <w:t>Hacer visibles criterios y controles</w:t>
            </w:r>
          </w:p>
        </w:tc>
        <w:tc>
          <w:tcPr>
            <w:tcW w:w="2098" w:type="dxa"/>
            <w:hideMark/>
          </w:tcPr>
          <w:p w14:paraId="2FC240AF" w14:textId="77777777" w:rsidR="002D4C36" w:rsidRPr="0009216A" w:rsidRDefault="002D4C36" w:rsidP="0009216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pt-PT"/>
              </w:rPr>
            </w:pPr>
            <w:r w:rsidRPr="0009216A">
              <w:rPr>
                <w:sz w:val="20"/>
                <w:szCs w:val="20"/>
                <w:lang w:val="pt-PT"/>
              </w:rPr>
              <w:t>Sobrecarga o apariencia de certeza</w:t>
            </w:r>
          </w:p>
        </w:tc>
      </w:tr>
    </w:tbl>
    <w:p w14:paraId="6A52C44E" w14:textId="77777777" w:rsidR="002D4C36" w:rsidRPr="002D4C36" w:rsidRDefault="002D4C36" w:rsidP="002D4C36">
      <w:pPr>
        <w:rPr>
          <w:lang w:val="es-MX"/>
        </w:rPr>
      </w:pPr>
      <w:r w:rsidRPr="002D4C36">
        <w:rPr>
          <w:i/>
          <w:iCs/>
          <w:lang w:val="es-MX"/>
        </w:rPr>
        <w:t>Fuente: elaboración propia a partir de las referencias citadas en el apartado.</w:t>
      </w:r>
    </w:p>
    <w:p w14:paraId="0441C3E0" w14:textId="1C2F5C4B" w:rsidR="002D4C36" w:rsidRPr="002D4C36" w:rsidRDefault="002D4C36" w:rsidP="00F111DC">
      <w:pPr>
        <w:pStyle w:val="Ttulo3"/>
        <w:rPr>
          <w:lang w:val="es-MX"/>
        </w:rPr>
      </w:pPr>
      <w:bookmarkStart w:id="31" w:name="_Toc239440888"/>
      <w:r w:rsidRPr="002D4C36">
        <w:rPr>
          <w:lang w:val="es-MX"/>
        </w:rPr>
        <w:t>Ritmo, recomendación y retroalimentación adaptativa</w:t>
      </w:r>
      <w:bookmarkEnd w:id="31"/>
    </w:p>
    <w:p w14:paraId="6A040C30" w14:textId="77777777" w:rsidR="002D4C36" w:rsidRPr="002D4C36" w:rsidRDefault="002D4C36" w:rsidP="002D4C36">
      <w:pPr>
        <w:rPr>
          <w:lang w:val="es-MX"/>
        </w:rPr>
      </w:pPr>
      <w:r w:rsidRPr="002D4C36">
        <w:rPr>
          <w:lang w:val="es-MX"/>
        </w:rPr>
        <w:t>La adaptación del ritmo resulta atractiva porque reconoce diferencias. En modalidades en línea puede permitir avanzar después de demostrar dominio. Sin embargo, el ritmo individual se relaciona con calendarios, colaboración y acompañamiento. Una flexibilidad ilimitada puede producir postergación y aislamiento. Conviene combinar ventanas flexibles con hitos comunes, recordatorios y espacios sincrónicos opcionales. La inteligencia artificial puede sugerir planes de estudio y alertar retrasos, pero debe evitar mensajes coercitivos. El estudiante necesita ajustar metas y explicar circunstancias que no aparecen en los datos. Los apoyos humanos siguen siendo esenciales cuando las dificultades se relacionan con trabajo, salud o cuidado familiar. La personalización temporal debe ampliar posibilidades sin trasladar toda la responsabilidad a la persona ni convertir la plataforma en un mecanismo de vigilancia (Zimmerman, 2002; UNESCO, 2021).</w:t>
      </w:r>
    </w:p>
    <w:p w14:paraId="385486E6" w14:textId="77777777" w:rsidR="002D4C36" w:rsidRPr="002D4C36" w:rsidRDefault="002D4C36" w:rsidP="002D4C36">
      <w:pPr>
        <w:rPr>
          <w:lang w:val="es-MX"/>
        </w:rPr>
      </w:pPr>
      <w:r w:rsidRPr="002D4C36">
        <w:rPr>
          <w:lang w:val="es-MX"/>
        </w:rPr>
        <w:t xml:space="preserve">La recomendación de recursos utiliza similitud de contenido, patrones de usuarios o reglas curriculares. En educación, recomendar lo popular puede estrechar el acceso y reforzar tendencias. La diversidad de fuentes, formatos y perspectivas debe incorporarse como criterio. El </w:t>
      </w:r>
      <w:r w:rsidRPr="002D4C36">
        <w:rPr>
          <w:lang w:val="es-MX"/>
        </w:rPr>
        <w:lastRenderedPageBreak/>
        <w:t xml:space="preserve">sistema debería explicar por qué sugiere un recurso y permitir explorar alternativas. También debe distinguir material obligatorio, ampliación y apoyo remedial. Las bibliotecas y docentes aportan criterios de calidad, licencia y actualidad que no siempre aparecen en los datos de uso. Un </w:t>
      </w:r>
      <w:proofErr w:type="spellStart"/>
      <w:r w:rsidRPr="002D4C36">
        <w:rPr>
          <w:lang w:val="es-MX"/>
        </w:rPr>
        <w:t>recomendador</w:t>
      </w:r>
      <w:proofErr w:type="spellEnd"/>
      <w:r w:rsidRPr="002D4C36">
        <w:rPr>
          <w:lang w:val="es-MX"/>
        </w:rPr>
        <w:t xml:space="preserve"> educativo no persigue maximizar tiempo de permanencia, sino facilitar comprensión y autonomía. Su evaluación necesita observar si los recursos son utilizados de manera productiva y si amplían, en lugar de limitar, el repertorio académico (OECD, 2023; Miao &amp; Holmes, 2023).</w:t>
      </w:r>
    </w:p>
    <w:p w14:paraId="1DC7E9E4" w14:textId="77777777" w:rsidR="002D4C36" w:rsidRPr="002D4C36" w:rsidRDefault="002D4C36" w:rsidP="002D4C36">
      <w:pPr>
        <w:rPr>
          <w:lang w:val="es-MX"/>
        </w:rPr>
      </w:pPr>
      <w:r w:rsidRPr="002D4C36">
        <w:rPr>
          <w:lang w:val="es-MX"/>
        </w:rPr>
        <w:t xml:space="preserve">La retroalimentación adaptativa responde al tipo de error y al momento. Puede confirmar, indicar una discrepancia, ofrecer una pista o invitar a revisar una estrategia. Los comentarios más útiles responden hacia dónde se dirige el aprendizaje, cómo progresa y cuál es el siguiente paso. Un sistema puede entregar rapidez, pero la precisión y el tono necesitan validación. Explicar demasiado puede reducir el esfuerzo; señalar solo que algo está mal puede frustrar. La secuencia puede comenzar con una pregunta metacognitiva, continuar con una pista conceptual y terminar con un ejemplo. El estudiante debe poder solicitar más o menos apoyo. Cuando la tarea involucra juicio complejo, el comentario automático es preliminar y se complementa con diálogo docente. La adaptación busca desarrollar capacidad de autoevaluación, no crear dependencia permanente de indicaciones externas (Hattie &amp; Timperley, 2007; </w:t>
      </w:r>
      <w:proofErr w:type="spellStart"/>
      <w:r w:rsidRPr="002D4C36">
        <w:rPr>
          <w:lang w:val="es-MX"/>
        </w:rPr>
        <w:t>VanLehn</w:t>
      </w:r>
      <w:proofErr w:type="spellEnd"/>
      <w:r w:rsidRPr="002D4C36">
        <w:rPr>
          <w:lang w:val="es-MX"/>
        </w:rPr>
        <w:t>, 2011).</w:t>
      </w:r>
    </w:p>
    <w:p w14:paraId="19649C7C" w14:textId="202DC870" w:rsidR="002D4C36" w:rsidRPr="002D4C36" w:rsidRDefault="002D4C36" w:rsidP="00F111DC">
      <w:pPr>
        <w:pStyle w:val="Ttulo3"/>
        <w:rPr>
          <w:lang w:val="es-MX"/>
        </w:rPr>
      </w:pPr>
      <w:bookmarkStart w:id="32" w:name="_Toc239440889"/>
      <w:r w:rsidRPr="002D4C36">
        <w:rPr>
          <w:lang w:val="es-MX"/>
        </w:rPr>
        <w:t>Práctica espaciada, autonomía y equidad</w:t>
      </w:r>
      <w:bookmarkEnd w:id="32"/>
    </w:p>
    <w:p w14:paraId="43D3ED8E" w14:textId="77777777" w:rsidR="002D4C36" w:rsidRPr="002D4C36" w:rsidRDefault="002D4C36" w:rsidP="002D4C36">
      <w:pPr>
        <w:rPr>
          <w:lang w:val="es-MX"/>
        </w:rPr>
      </w:pPr>
      <w:r w:rsidRPr="002D4C36">
        <w:rPr>
          <w:lang w:val="es-MX"/>
        </w:rPr>
        <w:t>Los sistemas adaptativos pueden favorecer la práctica espaciada y la recuperación. Al registrar respuestas, programan revisiones antes de que se debilite el recuerdo y alternan conceptos. Esta función resulta útil para vocabulario, procedimientos y conocimientos básicos, aunque no sustituye tareas de aplicación e integración. La optimización debe considerar comprensión y transferencia, no solo aciertos inmediatos. También conviene permitir que el estudiante revise el plan y comprenda por qué reaparece un contenido. La personalización algorítmica puede combinarse con metas elegidas y reflexión sobre estrategias. Cuando la práctica se vuelve mecánica o excesiva, disminuye motivación. El docente establece qué conocimientos se benefician de repetición y cómo se conectan con problemas auténticos. La eficiencia del recuerdo es una parte del aprendizaje universitario, no su totalidad (Mayer, 2021; Zimmerman, 2002).</w:t>
      </w:r>
    </w:p>
    <w:p w14:paraId="344D3661" w14:textId="77777777" w:rsidR="002D4C36" w:rsidRPr="002D4C36" w:rsidRDefault="002D4C36" w:rsidP="002D4C36">
      <w:pPr>
        <w:rPr>
          <w:lang w:val="es-MX"/>
        </w:rPr>
      </w:pPr>
      <w:r w:rsidRPr="002D4C36">
        <w:rPr>
          <w:lang w:val="es-MX"/>
        </w:rPr>
        <w:t xml:space="preserve">La autonomía necesita ocupar un lugar central. Una adaptación invisible puede ser cómoda y, al mismo tiempo, impedir que el estudiante aprenda a planificar y seleccionar estrategias. Es preferible una personalización transparente que ofrezca recomendaciones, explique criterios y permita decidir. El sistema puede mostrar avances y sugerir opciones, mientras la persona establece metas y evalúa resultados. Con el tiempo, algunos apoyos deben retirarse para favorecer independencia. Esta retirada gradual evita que el rendimiento dependa de la herramienta. La autorregulación se desarrolla cuando el estudiante anticipa, actúa, supervisa y reflexiona. La </w:t>
      </w:r>
      <w:r w:rsidRPr="002D4C36">
        <w:rPr>
          <w:lang w:val="es-MX"/>
        </w:rPr>
        <w:lastRenderedPageBreak/>
        <w:t>inteligencia artificial puede apoyar cada fase mediante preguntas y recordatorios, pero no debe apropiarse del control. El capítulo siguiente profundizará esta relación entre tecnología y autonomía (Zimmerman, 2002; Molenaar, 2022).</w:t>
      </w:r>
    </w:p>
    <w:p w14:paraId="112C0042" w14:textId="77777777" w:rsidR="002D4C36" w:rsidRPr="002D4C36" w:rsidRDefault="002D4C36" w:rsidP="002D4C36">
      <w:pPr>
        <w:rPr>
          <w:lang w:val="es-MX"/>
        </w:rPr>
      </w:pPr>
      <w:r w:rsidRPr="002D4C36">
        <w:rPr>
          <w:lang w:val="es-MX"/>
        </w:rPr>
        <w:t xml:space="preserve">La equidad exige analizar quién recibe qué ruta y con qué consecuencias. Un sistema entrenado con cohortes anteriores puede reproducir desigualdades de acceso y rendimiento. Si ofrece contenidos simplificados a quienes históricamente obtuvieron resultados menores, puede reducir oportunidades futuras. La evaluación debe comparar errores y recomendaciones entre grupos, pero también revisar la lógica pedagógica. La equidad no consiste en que todos reciban exactamente lo mismo, sino en que las diferencias de apoyo sean justificables y mantengan expectativas altas. Los estudiantes necesitan mecanismos para cuestionar una ruta y acceder a alternativas. La institución debe evitar que servicios premium generen ventajas no disponibles para todos. Además, la adaptación debe funcionar con dispositivos y conectividad diversos. Una innovación que depende de infraestructura costosa puede ampliar la brecha que pretende resolver (UNESCO, 2021; </w:t>
      </w:r>
      <w:proofErr w:type="spellStart"/>
      <w:r w:rsidRPr="002D4C36">
        <w:rPr>
          <w:lang w:val="es-MX"/>
        </w:rPr>
        <w:t>European</w:t>
      </w:r>
      <w:proofErr w:type="spellEnd"/>
      <w:r w:rsidRPr="002D4C36">
        <w:rPr>
          <w:lang w:val="es-MX"/>
        </w:rPr>
        <w:t xml:space="preserve"> </w:t>
      </w:r>
      <w:proofErr w:type="spellStart"/>
      <w:r w:rsidRPr="002D4C36">
        <w:rPr>
          <w:lang w:val="es-MX"/>
        </w:rPr>
        <w:t>Commission</w:t>
      </w:r>
      <w:proofErr w:type="spellEnd"/>
      <w:r w:rsidRPr="002D4C36">
        <w:rPr>
          <w:lang w:val="es-MX"/>
        </w:rPr>
        <w:t>, 2022).</w:t>
      </w:r>
    </w:p>
    <w:p w14:paraId="60128F5C" w14:textId="241DA359" w:rsidR="002D4C36" w:rsidRPr="002D4C36" w:rsidRDefault="002D4C36" w:rsidP="00F111DC">
      <w:pPr>
        <w:pStyle w:val="Ttulo3"/>
        <w:rPr>
          <w:lang w:val="es-MX"/>
        </w:rPr>
      </w:pPr>
      <w:bookmarkStart w:id="33" w:name="_Toc239440890"/>
      <w:r w:rsidRPr="002D4C36">
        <w:rPr>
          <w:lang w:val="es-MX"/>
        </w:rPr>
        <w:t>Accesibilidad, tableros y orquestación docente</w:t>
      </w:r>
      <w:bookmarkEnd w:id="33"/>
    </w:p>
    <w:p w14:paraId="43129CC8" w14:textId="77777777" w:rsidR="002D4C36" w:rsidRPr="002D4C36" w:rsidRDefault="002D4C36" w:rsidP="002D4C36">
      <w:pPr>
        <w:rPr>
          <w:lang w:val="es-MX"/>
        </w:rPr>
      </w:pPr>
      <w:r w:rsidRPr="002D4C36">
        <w:rPr>
          <w:lang w:val="es-MX"/>
        </w:rPr>
        <w:t>La accesibilidad se beneficia cuando la interfaz permite ajustar tamaño, contraste, modalidad, velocidad y nivel de ayuda. Los sistemas pueden convertir texto en voz, generar subtítulos o describir imágenes. Estas funciones requieren pruebas con tecnologías de apoyo y revisión de precisión. Una adaptación automática basada en inferencias sobre discapacidad puede ser invasiva. Es preferible ofrecer controles y perfiles voluntarios con privacidad. Las alternativas deben conservar equivalencia académica. Por ejemplo, una respuesta oral puede demostrar el mismo resultado que una escrita en algunas actividades, pero no cuando el objetivo es dominar una forma específica de escritura. El docente y los servicios de inclusión determinan ajustes razonables. La tecnología facilita opciones, mientras el marco pedagógico define su pertinencia (CAST, 2024; UNESCO, 2021).</w:t>
      </w:r>
    </w:p>
    <w:p w14:paraId="3C156EC3" w14:textId="77777777" w:rsidR="002D4C36" w:rsidRPr="002D4C36" w:rsidRDefault="002D4C36" w:rsidP="002D4C36">
      <w:pPr>
        <w:rPr>
          <w:lang w:val="es-MX"/>
        </w:rPr>
      </w:pPr>
      <w:r w:rsidRPr="002D4C36">
        <w:rPr>
          <w:lang w:val="es-MX"/>
        </w:rPr>
        <w:t>Los tableros permiten que docentes y estudiantes observen el funcionamiento adaptativo. Un tablero útil muestra progreso, conceptos trabajados, recomendaciones y grado de incertidumbre. Debe evitar clasificaciones simplistas y comparaciones competitivas. Para el docente, los patrones agregados pueden indicar que una explicación o actividad necesita revisión. Para el estudiante, la visualización puede apoyar metas y reflexión. Toda métrica requiere definición y contexto. Un porcentaje de dominio no es una medida absoluta, sino una estimación basada en determinadas tareas. La interfaz debe indicar qué puede hacer la persona y cómo solicitar revisión. Si el tablero solo muestra una puntuación sin acciones, puede aumentar ansiedad. La analítica adquiere valor cuando se integra con conversaciones y decisiones comprensibles (</w:t>
      </w:r>
      <w:proofErr w:type="spellStart"/>
      <w:r w:rsidRPr="002D4C36">
        <w:rPr>
          <w:lang w:val="es-MX"/>
        </w:rPr>
        <w:t>Ifenthaler</w:t>
      </w:r>
      <w:proofErr w:type="spellEnd"/>
      <w:r w:rsidRPr="002D4C36">
        <w:rPr>
          <w:lang w:val="es-MX"/>
        </w:rPr>
        <w:t xml:space="preserve"> &amp; Yau, 2020; Slade &amp; Prinsloo, 2013).</w:t>
      </w:r>
    </w:p>
    <w:p w14:paraId="1D46FAF8" w14:textId="77777777" w:rsidR="002D4C36" w:rsidRPr="002D4C36" w:rsidRDefault="002D4C36" w:rsidP="002D4C36">
      <w:pPr>
        <w:rPr>
          <w:lang w:val="es-MX"/>
        </w:rPr>
      </w:pPr>
      <w:r w:rsidRPr="002D4C36">
        <w:rPr>
          <w:lang w:val="es-MX"/>
        </w:rPr>
        <w:lastRenderedPageBreak/>
        <w:t>El profesorado actúa como orquestador de la personalización. Define resultados comunes, selecciona dimensiones adaptables, revisa patrones y decide cuándo intervenir. Esta función no consiste en observar cada interacción en tiempo real, sino en establecer reglas y momentos de revisión. La plataforma debe resumir información sin sobrecargar y permitir ajustar rutas. Los docentes necesitan formación para interpretar probabilidades y reconocer límites. También requieren apoyo técnico. Si la personalización añade tareas de configuración y revisión sin reducir otras cargas, puede volverse insostenible. El diseño institucional debe asignar tiempo, equipos y responsabilidades. La promesa de atender a cada estudiante no puede sostenerse mediante trabajo invisible. Los sistemas híbridos distribuyen funciones entre tecnología y personas de acuerdo con capacidad y responsabilidad (Molenaar, 2022; Miao &amp; Cukurova, 2024).</w:t>
      </w:r>
    </w:p>
    <w:p w14:paraId="4716C48D" w14:textId="77777777" w:rsidR="002D4C36" w:rsidRDefault="002D4C36" w:rsidP="002D4C36">
      <w:pPr>
        <w:rPr>
          <w:lang w:val="es-MX"/>
        </w:rPr>
      </w:pPr>
      <w:r w:rsidRPr="002D4C36">
        <w:rPr>
          <w:lang w:val="es-MX"/>
        </w:rPr>
        <w:t>La implementación gradual permite evaluar antes de ampliar. Un piloto puede concentrarse en un contenido delimitado y comparar con la práctica previa. Se recopilan resultados de aprendizaje, uso, percepción, equidad y carga. También se documentan errores y decisiones docentes. Las métricas del proveedor no sustituyen evidencia local. Un aumento de finalización puede acompañarse de menor transferencia, o una mejora promedio puede ocultar diferencias. La evaluación debe incluir estudiantes que abandonaron o utilizaron poco el sistema. Después se decide continuar, modificar o retirar. Es importante conservar una alternativa y evitar dependencia contractual. La personalización responsable se construye mediante ciclos de diseño, prueba y revisión, no mediante una adopción total basada en expectativas (Bond et al., 2024; Tabassi, 2023).</w:t>
      </w:r>
    </w:p>
    <w:p w14:paraId="0BD69CDA" w14:textId="58928B06" w:rsidR="00CB05C3" w:rsidRPr="002D4C36" w:rsidRDefault="00CB05C3" w:rsidP="002D4C36">
      <w:pPr>
        <w:rPr>
          <w:lang w:val="es-MX"/>
        </w:rPr>
      </w:pPr>
      <w:r>
        <w:rPr>
          <w:noProof/>
          <w:lang w:val="es-MX"/>
          <w14:ligatures w14:val="standardContextual"/>
        </w:rPr>
        <w:drawing>
          <wp:inline distT="0" distB="0" distL="0" distR="0" wp14:anchorId="08EC4F22" wp14:editId="32CFF6CE">
            <wp:extent cx="5400040" cy="3599815"/>
            <wp:effectExtent l="0" t="0" r="0" b="635"/>
            <wp:docPr id="67080876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08762" name="Imagen 67080876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inline>
        </w:drawing>
      </w:r>
    </w:p>
    <w:p w14:paraId="4F7F2180" w14:textId="62E5BE92" w:rsidR="002D4C36" w:rsidRPr="002D4C36" w:rsidRDefault="002D4C36" w:rsidP="00F111DC">
      <w:pPr>
        <w:pStyle w:val="Ttulo2"/>
        <w:rPr>
          <w:lang w:val="es-MX"/>
        </w:rPr>
      </w:pPr>
      <w:bookmarkStart w:id="34" w:name="_Toc239440891"/>
      <w:r w:rsidRPr="002D4C36">
        <w:rPr>
          <w:lang w:val="es-MX"/>
        </w:rPr>
        <w:lastRenderedPageBreak/>
        <w:t>Tutoría y acompañamiento inteligente</w:t>
      </w:r>
      <w:bookmarkEnd w:id="34"/>
    </w:p>
    <w:p w14:paraId="5B3501E4" w14:textId="4DF7DA10" w:rsidR="002D4C36" w:rsidRPr="002D4C36" w:rsidRDefault="002D4C36" w:rsidP="00F111DC">
      <w:pPr>
        <w:pStyle w:val="Ttulo3"/>
        <w:rPr>
          <w:lang w:val="es-MX"/>
        </w:rPr>
      </w:pPr>
      <w:bookmarkStart w:id="35" w:name="_Toc239440892"/>
      <w:r w:rsidRPr="002D4C36">
        <w:rPr>
          <w:lang w:val="es-MX"/>
        </w:rPr>
        <w:t>Fundamentos y diálogo tutorial</w:t>
      </w:r>
      <w:bookmarkEnd w:id="35"/>
    </w:p>
    <w:p w14:paraId="1B96723B" w14:textId="77777777" w:rsidR="002D4C36" w:rsidRPr="002D4C36" w:rsidRDefault="002D4C36" w:rsidP="002D4C36">
      <w:pPr>
        <w:rPr>
          <w:lang w:val="es-MX"/>
        </w:rPr>
      </w:pPr>
      <w:r w:rsidRPr="002D4C36">
        <w:rPr>
          <w:lang w:val="es-MX"/>
        </w:rPr>
        <w:t>La tutoría inteligente busca ofrecer orientación individualizada mediante una interacción sostenida. Sus antecedentes incluyen sistemas especializados que representaban el dominio, el estado del estudiante y una estrategia pedagógica. Los modelos generativos amplían la conversación y permiten responder preguntas abiertas, pero no reemplazan esos componentes. Un asistente que produce explicaciones fluidas no es necesariamente un tutor. Para cumplir una función tutorial debe conocer los objetivos, diagnosticar de manera prudente, seleccionar ayudas y evaluar progreso. También necesita reconocer límites y derivar. La evidencia sobre sistemas de tutoría muestra beneficios cuando el diseño está vinculado con tareas y retroalimentación, aunque los efectos dependen del contexto y de la comparación utilizada. La disponibilidad permanente puede ampliar práctica, pero la calidad del acompañamiento se determina por la intervención, no por el número de mensajes (</w:t>
      </w:r>
      <w:proofErr w:type="spellStart"/>
      <w:r w:rsidRPr="002D4C36">
        <w:rPr>
          <w:lang w:val="es-MX"/>
        </w:rPr>
        <w:t>VanLehn</w:t>
      </w:r>
      <w:proofErr w:type="spellEnd"/>
      <w:r w:rsidRPr="002D4C36">
        <w:rPr>
          <w:lang w:val="es-MX"/>
        </w:rPr>
        <w:t>, 2011; Kulik &amp; Fletcher, 2016).</w:t>
      </w:r>
    </w:p>
    <w:p w14:paraId="75A8F235" w14:textId="77777777" w:rsidR="002D4C36" w:rsidRPr="002D4C36" w:rsidRDefault="002D4C36" w:rsidP="002D4C36">
      <w:pPr>
        <w:rPr>
          <w:lang w:val="es-MX"/>
        </w:rPr>
      </w:pPr>
      <w:r w:rsidRPr="002D4C36">
        <w:rPr>
          <w:lang w:val="es-MX"/>
        </w:rPr>
        <w:t>El diálogo tutorial efectivo hace visible el razonamiento. En lugar de entregar la respuesta, formula preguntas, solicita explicaciones y utiliza errores como evidencia. Un sistema puede preguntar qué principio se aplica, por qué se eligió un procedimiento o qué cambiaría bajo otra condición. Estas preguntas deben seguir una secuencia y adaptarse a la respuesta. Los modelos generativos facilitan flexibilidad, pero pueden aceptar argumentos incorrectos o desviarse del objetivo. La tutoría necesita una base de conocimiento validada y reglas pedagógicas. El estudiante también debe poder pedir una explicación diferente o señalar una contradicción. La interacción se vuelve educativa cuando promueve elaboración y control, no cuando imita una conversación agradable. El tono importa, pero no sustituye precisión y propósito (</w:t>
      </w:r>
      <w:proofErr w:type="spellStart"/>
      <w:r w:rsidRPr="002D4C36">
        <w:rPr>
          <w:lang w:val="es-MX"/>
        </w:rPr>
        <w:t>VanLehn</w:t>
      </w:r>
      <w:proofErr w:type="spellEnd"/>
      <w:r w:rsidRPr="002D4C36">
        <w:rPr>
          <w:lang w:val="es-MX"/>
        </w:rPr>
        <w:t>, 2011; Chi &amp; Wylie, 2014).</w:t>
      </w:r>
    </w:p>
    <w:p w14:paraId="6D60E4F8" w14:textId="77777777" w:rsidR="002D4C36" w:rsidRDefault="002D4C36" w:rsidP="002D4C36">
      <w:pPr>
        <w:rPr>
          <w:lang w:val="es-MX"/>
        </w:rPr>
      </w:pPr>
      <w:r w:rsidRPr="002D4C36">
        <w:rPr>
          <w:lang w:val="es-MX"/>
        </w:rPr>
        <w:t>El andamiaje ofrece apoyo temporal para realizar una tarea que todavía no se domina. Puede incluir modelos, pistas, preguntas, organizadores y retroalimentación. La palabra temporal es esencial. Un tutor debe retirar ayuda a medida que aumenta la competencia. Si siempre completa el siguiente paso, el estudiante no desarrolla independencia. Los niveles de pista pueden avanzar desde una orientación general hacia información más específica. El sistema registra qué ayuda fue necesaria y propone después una tarea semejante con menor intervención. También puede pedir que el estudiante explique la pista con sus propias palabras. La retirada debe basarse en varias evidencias y permitir solicitar apoyo nuevamente. El objetivo no es minimizar el número de errores, sino convertirlos en oportunidades de aprendizaje y transferencia (</w:t>
      </w:r>
      <w:proofErr w:type="spellStart"/>
      <w:r w:rsidRPr="002D4C36">
        <w:rPr>
          <w:lang w:val="es-MX"/>
        </w:rPr>
        <w:t>VanLehn</w:t>
      </w:r>
      <w:proofErr w:type="spellEnd"/>
      <w:r w:rsidRPr="002D4C36">
        <w:rPr>
          <w:lang w:val="es-MX"/>
        </w:rPr>
        <w:t>, 2011; Zimmerman, 2002).</w:t>
      </w:r>
    </w:p>
    <w:p w14:paraId="20A6A9B6" w14:textId="78B32101" w:rsidR="00C35E03" w:rsidRPr="002D4C36" w:rsidRDefault="0084680E" w:rsidP="002D4C36">
      <w:pPr>
        <w:rPr>
          <w:lang w:val="es-MX"/>
        </w:rPr>
      </w:pPr>
      <w:r>
        <w:rPr>
          <w:noProof/>
          <w:lang w:val="es-MX"/>
        </w:rPr>
        <w:lastRenderedPageBreak/>
        <w:drawing>
          <wp:inline distT="0" distB="0" distL="0" distR="0" wp14:anchorId="5C6F504A" wp14:editId="0B06187B">
            <wp:extent cx="5400675" cy="3600450"/>
            <wp:effectExtent l="0" t="0" r="9525" b="0"/>
            <wp:docPr id="34138017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393CF8E7" w14:textId="57CC22E6" w:rsidR="002D4C36" w:rsidRPr="002D4C36" w:rsidRDefault="002D4C36" w:rsidP="00F111DC">
      <w:pPr>
        <w:pStyle w:val="Ttulo3"/>
        <w:rPr>
          <w:lang w:val="es-MX"/>
        </w:rPr>
      </w:pPr>
      <w:bookmarkStart w:id="36" w:name="_Toc239440893"/>
      <w:r w:rsidRPr="002D4C36">
        <w:rPr>
          <w:lang w:val="es-MX"/>
        </w:rPr>
        <w:t>Diagnóstico de errores, retroalimentación y metacognición</w:t>
      </w:r>
      <w:bookmarkEnd w:id="36"/>
    </w:p>
    <w:p w14:paraId="732584AA" w14:textId="77777777" w:rsidR="002D4C36" w:rsidRPr="002D4C36" w:rsidRDefault="002D4C36" w:rsidP="002D4C36">
      <w:pPr>
        <w:rPr>
          <w:lang w:val="es-MX"/>
        </w:rPr>
      </w:pPr>
      <w:r w:rsidRPr="002D4C36">
        <w:rPr>
          <w:lang w:val="es-MX"/>
        </w:rPr>
        <w:t>La detección de errores requiere diferenciar respuesta incorrecta, concepción alternativa y descuido. En dominios bien estructurados pueden definirse patrones frecuentes; en tareas abiertas se necesita interpretación. Un modelo de lenguaje puede proponer un diagnóstico, pero debe comunicar incertidumbre y pedir evidencia. Por ejemplo, puede solicitar al estudiante que explique un paso antes de atribuir una dificultad conceptual. Las etiquetas no deben presentarse como rasgos permanentes. El docente necesita acceder a patrones agregados y revisar casos. Cuando la consecuencia es una calificación o una decisión académica, la inferencia automática no basta. La tutoría utiliza errores para seleccionar ayuda, mientras la evaluación formal requiere criterios y revisión adicionales. Esta separación protege al estudiante y mantiene la función formativa (</w:t>
      </w:r>
      <w:proofErr w:type="spellStart"/>
      <w:r w:rsidRPr="002D4C36">
        <w:rPr>
          <w:lang w:val="es-MX"/>
        </w:rPr>
        <w:t>European</w:t>
      </w:r>
      <w:proofErr w:type="spellEnd"/>
      <w:r w:rsidRPr="002D4C36">
        <w:rPr>
          <w:lang w:val="es-MX"/>
        </w:rPr>
        <w:t xml:space="preserve"> </w:t>
      </w:r>
      <w:proofErr w:type="spellStart"/>
      <w:r w:rsidRPr="002D4C36">
        <w:rPr>
          <w:lang w:val="es-MX"/>
        </w:rPr>
        <w:t>Commission</w:t>
      </w:r>
      <w:proofErr w:type="spellEnd"/>
      <w:r w:rsidRPr="002D4C36">
        <w:rPr>
          <w:lang w:val="es-MX"/>
        </w:rPr>
        <w:t>, 2022; Tabassi, 2023).</w:t>
      </w:r>
    </w:p>
    <w:p w14:paraId="015F6A4B" w14:textId="77777777" w:rsidR="002D4C36" w:rsidRPr="002D4C36" w:rsidRDefault="002D4C36" w:rsidP="002D4C36">
      <w:pPr>
        <w:rPr>
          <w:lang w:val="es-MX"/>
        </w:rPr>
      </w:pPr>
      <w:r w:rsidRPr="002D4C36">
        <w:rPr>
          <w:lang w:val="es-MX"/>
        </w:rPr>
        <w:t>La retroalimentación tutorial combina información sobre la meta, el desempeño y el siguiente paso. Debe ser específica, oportuna y manejable. Un comentario extenso puede superar la capacidad de acción. El sistema puede priorizar uno o dos aspectos y comprobar después si fueron comprendidos. También debe distinguir entre error conceptual y problema de forma. En escritura, corregir cada frase puede invisibilizar la estructura del argumento. En resolución de problemas, revelar el procedimiento puede impedir diagnosticar. Una secuencia de retroalimentación permite que el estudiante actúe antes de recibir una nueva sugerencia. La calidad se evalúa observando revisiones y aprendizaje posterior, no solo la valoración positiva del mensaje (Hattie &amp; Timperley, 2007; OECD, 2026).</w:t>
      </w:r>
    </w:p>
    <w:p w14:paraId="447D6E87" w14:textId="77777777" w:rsidR="002D4C36" w:rsidRPr="002D4C36" w:rsidRDefault="002D4C36" w:rsidP="002D4C36">
      <w:pPr>
        <w:rPr>
          <w:lang w:val="es-MX"/>
        </w:rPr>
      </w:pPr>
      <w:r w:rsidRPr="002D4C36">
        <w:rPr>
          <w:lang w:val="es-MX"/>
        </w:rPr>
        <w:lastRenderedPageBreak/>
        <w:t>La tutoría puede incluir modelado metacognitivo. El sistema muestra cómo una persona experta planifica, verifica supuestos y revisa una respuesta. Después solicita que el estudiante realice esos pasos. Preguntas como qué se sabe, qué falta, qué fuente es confiable o cómo se comprobará el resultado promueven autorregulación. El tutor también puede ayudar a establecer metas y revisar estrategias al final. Sin embargo, demasiados recordatorios pueden fragmentar la tarea. Es mejor adaptar la frecuencia y permitir control. La metacognición no consiste en describir sensaciones de manera genérica, sino en relacionar decisiones con evidencia de aprendizaje. La tutoría inteligente puede hacer visible este proceso, siempre que no convierta cada acción en un registro evaluativo (Zimmerman, 2002; Miao &amp; Cukurova, 2024).</w:t>
      </w:r>
    </w:p>
    <w:p w14:paraId="1B05FC20" w14:textId="210DE87A" w:rsidR="002D4C36" w:rsidRPr="002D4C36" w:rsidRDefault="002D4C36" w:rsidP="002D4C36">
      <w:pPr>
        <w:rPr>
          <w:lang w:val="es-MX"/>
        </w:rPr>
      </w:pPr>
      <w:r w:rsidRPr="002D4C36">
        <w:rPr>
          <w:b/>
          <w:bCs/>
          <w:lang w:val="es-MX"/>
        </w:rPr>
        <w:t xml:space="preserve">Tabla </w:t>
      </w:r>
      <w:r w:rsidR="00FA6F60">
        <w:rPr>
          <w:b/>
          <w:bCs/>
          <w:lang w:val="es-MX"/>
        </w:rPr>
        <w:t>2</w:t>
      </w:r>
      <w:r w:rsidRPr="002D4C36">
        <w:rPr>
          <w:b/>
          <w:bCs/>
          <w:lang w:val="es-MX"/>
        </w:rPr>
        <w:t>.3. Niveles de apoyo en la tutoría inteligente</w:t>
      </w:r>
    </w:p>
    <w:tbl>
      <w:tblPr>
        <w:tblStyle w:val="Tablanormal2"/>
        <w:tblW w:w="8392" w:type="dxa"/>
        <w:tblLook w:val="04A0" w:firstRow="1" w:lastRow="0" w:firstColumn="1" w:lastColumn="0" w:noHBand="0" w:noVBand="1"/>
      </w:tblPr>
      <w:tblGrid>
        <w:gridCol w:w="2098"/>
        <w:gridCol w:w="2098"/>
        <w:gridCol w:w="2098"/>
        <w:gridCol w:w="2098"/>
      </w:tblGrid>
      <w:tr w:rsidR="002D4C36" w:rsidRPr="002D4C36" w14:paraId="58FD3B1E" w14:textId="77777777" w:rsidTr="002112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4FA616B7" w14:textId="77777777" w:rsidR="002D4C36" w:rsidRPr="00F111DC" w:rsidRDefault="002D4C36" w:rsidP="00F111DC">
            <w:pPr>
              <w:spacing w:before="0" w:after="0" w:line="240" w:lineRule="auto"/>
              <w:jc w:val="center"/>
              <w:rPr>
                <w:sz w:val="20"/>
                <w:szCs w:val="20"/>
                <w:lang w:val="es-MX"/>
              </w:rPr>
            </w:pPr>
            <w:r w:rsidRPr="00F111DC">
              <w:rPr>
                <w:sz w:val="20"/>
                <w:szCs w:val="20"/>
                <w:lang w:val="es-MX"/>
              </w:rPr>
              <w:t>Nivel</w:t>
            </w:r>
          </w:p>
        </w:tc>
        <w:tc>
          <w:tcPr>
            <w:tcW w:w="2098" w:type="dxa"/>
            <w:hideMark/>
          </w:tcPr>
          <w:p w14:paraId="31C24213" w14:textId="77777777" w:rsidR="002D4C36" w:rsidRPr="00F111DC" w:rsidRDefault="002D4C36" w:rsidP="00F111D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Intervención</w:t>
            </w:r>
          </w:p>
        </w:tc>
        <w:tc>
          <w:tcPr>
            <w:tcW w:w="2098" w:type="dxa"/>
            <w:hideMark/>
          </w:tcPr>
          <w:p w14:paraId="046D9358" w14:textId="77777777" w:rsidR="002D4C36" w:rsidRPr="00F111DC" w:rsidRDefault="002D4C36" w:rsidP="00F111D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Finalidad</w:t>
            </w:r>
          </w:p>
        </w:tc>
        <w:tc>
          <w:tcPr>
            <w:tcW w:w="2098" w:type="dxa"/>
            <w:hideMark/>
          </w:tcPr>
          <w:p w14:paraId="7ABA5289" w14:textId="77777777" w:rsidR="002D4C36" w:rsidRPr="00F111DC" w:rsidRDefault="002D4C36" w:rsidP="00F111D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Comprobación</w:t>
            </w:r>
          </w:p>
        </w:tc>
      </w:tr>
      <w:tr w:rsidR="002D4C36" w:rsidRPr="002D4C36" w14:paraId="03BDACCD"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05D1D6BA" w14:textId="77777777" w:rsidR="002D4C36" w:rsidRPr="00F111DC" w:rsidRDefault="002D4C36" w:rsidP="00F111DC">
            <w:pPr>
              <w:spacing w:before="0" w:after="0" w:line="240" w:lineRule="auto"/>
              <w:rPr>
                <w:sz w:val="20"/>
                <w:szCs w:val="20"/>
                <w:lang w:val="es-MX"/>
              </w:rPr>
            </w:pPr>
            <w:r w:rsidRPr="00F111DC">
              <w:rPr>
                <w:sz w:val="20"/>
                <w:szCs w:val="20"/>
                <w:lang w:val="es-MX"/>
              </w:rPr>
              <w:t>Orientación</w:t>
            </w:r>
          </w:p>
        </w:tc>
        <w:tc>
          <w:tcPr>
            <w:tcW w:w="2098" w:type="dxa"/>
            <w:hideMark/>
          </w:tcPr>
          <w:p w14:paraId="5E275577"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Recuerda la meta o formula una pregunta</w:t>
            </w:r>
          </w:p>
        </w:tc>
        <w:tc>
          <w:tcPr>
            <w:tcW w:w="2098" w:type="dxa"/>
            <w:hideMark/>
          </w:tcPr>
          <w:p w14:paraId="2606A367"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Activar planificación</w:t>
            </w:r>
          </w:p>
        </w:tc>
        <w:tc>
          <w:tcPr>
            <w:tcW w:w="2098" w:type="dxa"/>
            <w:hideMark/>
          </w:tcPr>
          <w:p w14:paraId="67B772D8"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El estudiante explica su estrategia</w:t>
            </w:r>
          </w:p>
        </w:tc>
      </w:tr>
      <w:tr w:rsidR="002D4C36" w:rsidRPr="002D4C36" w14:paraId="0FBBD30C" w14:textId="77777777" w:rsidTr="002112B8">
        <w:tc>
          <w:tcPr>
            <w:cnfStyle w:val="001000000000" w:firstRow="0" w:lastRow="0" w:firstColumn="1" w:lastColumn="0" w:oddVBand="0" w:evenVBand="0" w:oddHBand="0" w:evenHBand="0" w:firstRowFirstColumn="0" w:firstRowLastColumn="0" w:lastRowFirstColumn="0" w:lastRowLastColumn="0"/>
            <w:tcW w:w="2098" w:type="dxa"/>
            <w:hideMark/>
          </w:tcPr>
          <w:p w14:paraId="1E9AF045" w14:textId="77777777" w:rsidR="002D4C36" w:rsidRPr="00F111DC" w:rsidRDefault="002D4C36" w:rsidP="00F111DC">
            <w:pPr>
              <w:spacing w:before="0" w:after="0" w:line="240" w:lineRule="auto"/>
              <w:rPr>
                <w:sz w:val="20"/>
                <w:szCs w:val="20"/>
                <w:lang w:val="es-MX"/>
              </w:rPr>
            </w:pPr>
            <w:r w:rsidRPr="00F111DC">
              <w:rPr>
                <w:sz w:val="20"/>
                <w:szCs w:val="20"/>
                <w:lang w:val="es-MX"/>
              </w:rPr>
              <w:t>Pista</w:t>
            </w:r>
          </w:p>
        </w:tc>
        <w:tc>
          <w:tcPr>
            <w:tcW w:w="2098" w:type="dxa"/>
            <w:hideMark/>
          </w:tcPr>
          <w:p w14:paraId="39003898"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Señala una relación o zona del problema</w:t>
            </w:r>
          </w:p>
        </w:tc>
        <w:tc>
          <w:tcPr>
            <w:tcW w:w="2098" w:type="dxa"/>
            <w:hideMark/>
          </w:tcPr>
          <w:p w14:paraId="5887FB87"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Superar un obstáculo específico</w:t>
            </w:r>
          </w:p>
        </w:tc>
        <w:tc>
          <w:tcPr>
            <w:tcW w:w="2098" w:type="dxa"/>
            <w:hideMark/>
          </w:tcPr>
          <w:p w14:paraId="73C961DA"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Se observa un nuevo intento</w:t>
            </w:r>
          </w:p>
        </w:tc>
      </w:tr>
      <w:tr w:rsidR="002D4C36" w:rsidRPr="002D4C36" w14:paraId="3BBA35D6" w14:textId="77777777" w:rsidTr="0021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339C27BC" w14:textId="77777777" w:rsidR="002D4C36" w:rsidRPr="00F111DC" w:rsidRDefault="002D4C36" w:rsidP="00F111DC">
            <w:pPr>
              <w:spacing w:before="0" w:after="0" w:line="240" w:lineRule="auto"/>
              <w:rPr>
                <w:sz w:val="20"/>
                <w:szCs w:val="20"/>
                <w:lang w:val="es-MX"/>
              </w:rPr>
            </w:pPr>
            <w:r w:rsidRPr="00F111DC">
              <w:rPr>
                <w:sz w:val="20"/>
                <w:szCs w:val="20"/>
                <w:lang w:val="es-MX"/>
              </w:rPr>
              <w:t>Ejemplo</w:t>
            </w:r>
          </w:p>
        </w:tc>
        <w:tc>
          <w:tcPr>
            <w:tcW w:w="2098" w:type="dxa"/>
            <w:hideMark/>
          </w:tcPr>
          <w:p w14:paraId="08AD2FDE"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Muestra un caso análogo o procedimiento parcial</w:t>
            </w:r>
          </w:p>
        </w:tc>
        <w:tc>
          <w:tcPr>
            <w:tcW w:w="2098" w:type="dxa"/>
            <w:hideMark/>
          </w:tcPr>
          <w:p w14:paraId="7711FF95"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Modelar razonamiento</w:t>
            </w:r>
          </w:p>
        </w:tc>
        <w:tc>
          <w:tcPr>
            <w:tcW w:w="2098" w:type="dxa"/>
            <w:hideMark/>
          </w:tcPr>
          <w:p w14:paraId="0886F037" w14:textId="77777777" w:rsidR="002D4C36" w:rsidRPr="00F111DC" w:rsidRDefault="002D4C36" w:rsidP="00F111D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111DC">
              <w:rPr>
                <w:sz w:val="20"/>
                <w:szCs w:val="20"/>
                <w:lang w:val="es-MX"/>
              </w:rPr>
              <w:t>Se solicita transferencia</w:t>
            </w:r>
          </w:p>
        </w:tc>
      </w:tr>
      <w:tr w:rsidR="002D4C36" w:rsidRPr="002D4C36" w14:paraId="26B25AC4" w14:textId="77777777" w:rsidTr="002112B8">
        <w:tc>
          <w:tcPr>
            <w:cnfStyle w:val="001000000000" w:firstRow="0" w:lastRow="0" w:firstColumn="1" w:lastColumn="0" w:oddVBand="0" w:evenVBand="0" w:oddHBand="0" w:evenHBand="0" w:firstRowFirstColumn="0" w:firstRowLastColumn="0" w:lastRowFirstColumn="0" w:lastRowLastColumn="0"/>
            <w:tcW w:w="2098" w:type="dxa"/>
            <w:hideMark/>
          </w:tcPr>
          <w:p w14:paraId="71B033FF" w14:textId="77777777" w:rsidR="002D4C36" w:rsidRPr="00F111DC" w:rsidRDefault="002D4C36" w:rsidP="00F111DC">
            <w:pPr>
              <w:spacing w:before="0" w:after="0" w:line="240" w:lineRule="auto"/>
              <w:rPr>
                <w:sz w:val="20"/>
                <w:szCs w:val="20"/>
                <w:lang w:val="es-MX"/>
              </w:rPr>
            </w:pPr>
            <w:r w:rsidRPr="00F111DC">
              <w:rPr>
                <w:sz w:val="20"/>
                <w:szCs w:val="20"/>
                <w:lang w:val="es-MX"/>
              </w:rPr>
              <w:t>Derivación</w:t>
            </w:r>
          </w:p>
        </w:tc>
        <w:tc>
          <w:tcPr>
            <w:tcW w:w="2098" w:type="dxa"/>
            <w:hideMark/>
          </w:tcPr>
          <w:p w14:paraId="0FC7B500"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Conecta con una persona o servicio</w:t>
            </w:r>
          </w:p>
        </w:tc>
        <w:tc>
          <w:tcPr>
            <w:tcW w:w="2098" w:type="dxa"/>
            <w:hideMark/>
          </w:tcPr>
          <w:p w14:paraId="7B77821C"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Atender juicio, riesgo o necesidad compleja</w:t>
            </w:r>
          </w:p>
        </w:tc>
        <w:tc>
          <w:tcPr>
            <w:tcW w:w="2098" w:type="dxa"/>
            <w:hideMark/>
          </w:tcPr>
          <w:p w14:paraId="32C76675" w14:textId="77777777" w:rsidR="002D4C36" w:rsidRPr="00F111DC" w:rsidRDefault="002D4C36" w:rsidP="00F111D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111DC">
              <w:rPr>
                <w:sz w:val="20"/>
                <w:szCs w:val="20"/>
                <w:lang w:val="es-MX"/>
              </w:rPr>
              <w:t>Existe seguimiento humano</w:t>
            </w:r>
          </w:p>
        </w:tc>
      </w:tr>
    </w:tbl>
    <w:p w14:paraId="2350D6E3" w14:textId="77777777" w:rsidR="002D4C36" w:rsidRPr="002D4C36" w:rsidRDefault="002D4C36" w:rsidP="002D4C36">
      <w:pPr>
        <w:rPr>
          <w:lang w:val="es-MX"/>
        </w:rPr>
      </w:pPr>
      <w:r w:rsidRPr="002D4C36">
        <w:rPr>
          <w:i/>
          <w:iCs/>
          <w:lang w:val="es-MX"/>
        </w:rPr>
        <w:t>Fuente: elaboración propia a partir de las referencias citadas en el apartado.</w:t>
      </w:r>
    </w:p>
    <w:p w14:paraId="6F509974" w14:textId="7EF7350A" w:rsidR="002D4C36" w:rsidRPr="002D4C36" w:rsidRDefault="002D4C36" w:rsidP="00171781">
      <w:pPr>
        <w:pStyle w:val="Ttulo3"/>
        <w:rPr>
          <w:lang w:val="es-MX"/>
        </w:rPr>
      </w:pPr>
      <w:bookmarkStart w:id="37" w:name="_Toc239440894"/>
      <w:r w:rsidRPr="002D4C36">
        <w:rPr>
          <w:lang w:val="es-MX"/>
        </w:rPr>
        <w:t>Asistentes de estudio y práctica disciplinar</w:t>
      </w:r>
      <w:bookmarkEnd w:id="37"/>
    </w:p>
    <w:p w14:paraId="021BF2ED" w14:textId="77777777" w:rsidR="002D4C36" w:rsidRPr="002D4C36" w:rsidRDefault="002D4C36" w:rsidP="002D4C36">
      <w:pPr>
        <w:rPr>
          <w:lang w:val="es-MX"/>
        </w:rPr>
      </w:pPr>
      <w:r w:rsidRPr="002D4C36">
        <w:rPr>
          <w:lang w:val="es-MX"/>
        </w:rPr>
        <w:t>Los asistentes de estudio pueden organizar materiales, crear planes y generar práctica. Para que el plan sea realista, debe considerar calendario, metas y recursos autorizados, sin recopilar información innecesaria. El estudiante necesita revisar y modificar. El sistema puede dividir una tarea extensa en acciones, pero debe evitar asumir que el problema es solo de organización. Dificultades económicas, familiares o de salud requieren apoyo humano. La tutoría automatizada debe reconocer señales y ofrecer canales institucionales sin intentar diagnosticar. También conviene evitar notificaciones excesivas. El acompañamiento respeta autonomía cuando ofrece opciones y permite desactivar funciones. La eficacia se mide por continuidad, comprensión y uso de estrategias, no por dependencia diaria de la aplicación (UNESCO, 2021; OECD, 2026).</w:t>
      </w:r>
    </w:p>
    <w:p w14:paraId="05432446" w14:textId="77777777" w:rsidR="002D4C36" w:rsidRPr="002D4C36" w:rsidRDefault="002D4C36" w:rsidP="002D4C36">
      <w:pPr>
        <w:rPr>
          <w:lang w:val="es-MX"/>
        </w:rPr>
      </w:pPr>
      <w:r w:rsidRPr="002D4C36">
        <w:rPr>
          <w:lang w:val="es-MX"/>
        </w:rPr>
        <w:t xml:space="preserve">La práctica conversacional resulta útil en lenguas, entrevistas y comunicación profesional. El sistema puede representar interlocutores y variar situaciones. El diseño debe especificar nivel, vocabulario, propósito y criterios. Después del diálogo, puede señalar patrones y ofrecer ejemplos, pero la evaluación de pronunciación, cultura y pragmática necesita cautela. Los modelos pueden privilegiar acentos o normas dominantes. La enseñanza debe reconocer diversidad lingüística y no presentar una única forma como neutral. Los estudiantes pueden comparar respuestas y analizar cómo cambia el registro. La conversación con una máquina reduce </w:t>
      </w:r>
      <w:r w:rsidRPr="002D4C36">
        <w:rPr>
          <w:lang w:val="es-MX"/>
        </w:rPr>
        <w:lastRenderedPageBreak/>
        <w:t>temor en etapas iniciales, pero no reemplaza la interacción humana, donde existen negociación auténtica, responsabilidad y consecuencias sociales (Miao &amp; Holmes, 2023; UNESCO, 2021).</w:t>
      </w:r>
    </w:p>
    <w:p w14:paraId="7BD3516B" w14:textId="77777777" w:rsidR="002D4C36" w:rsidRPr="002D4C36" w:rsidRDefault="002D4C36" w:rsidP="002D4C36">
      <w:pPr>
        <w:rPr>
          <w:lang w:val="es-MX"/>
        </w:rPr>
      </w:pPr>
      <w:r w:rsidRPr="002D4C36">
        <w:rPr>
          <w:lang w:val="es-MX"/>
        </w:rPr>
        <w:t>En programación, matemáticas y otras áreas procedimentales, un tutor puede analizar pasos y ofrecer pistas. La tentación es entregar código o solución completa. Para preservar aprendizaje, el sistema debe preguntar qué se intentó, identificar el primer punto de divergencia y proponer una prueba. También puede generar casos de prueba y pedir predicciones antes de ejecutar. El estudiante debe explicar el resultado y revisar errores. Las respuestas necesitan validación mediante compilación, cálculo o fuentes. Incluso un código funcional puede ser inseguro o poco comprensible. La tutoría debe promover lectura, depuración y justificación. La herramienta se convierte en apoyo cuando permite más ciclos de práctica y reflexión, no cuando elimina la necesidad de comprender (</w:t>
      </w:r>
      <w:proofErr w:type="spellStart"/>
      <w:r w:rsidRPr="002D4C36">
        <w:rPr>
          <w:lang w:val="es-MX"/>
        </w:rPr>
        <w:t>Kasneci</w:t>
      </w:r>
      <w:proofErr w:type="spellEnd"/>
      <w:r w:rsidRPr="002D4C36">
        <w:rPr>
          <w:lang w:val="es-MX"/>
        </w:rPr>
        <w:t xml:space="preserve"> et al., 2023; OECD, 2026).</w:t>
      </w:r>
    </w:p>
    <w:p w14:paraId="74E76B59" w14:textId="095A3597" w:rsidR="002D4C36" w:rsidRPr="002D4C36" w:rsidRDefault="002D4C36" w:rsidP="00171781">
      <w:pPr>
        <w:pStyle w:val="Ttulo3"/>
        <w:rPr>
          <w:lang w:val="es-MX"/>
        </w:rPr>
      </w:pPr>
      <w:bookmarkStart w:id="38" w:name="_Toc239440895"/>
      <w:r w:rsidRPr="002D4C36">
        <w:rPr>
          <w:lang w:val="es-MX"/>
        </w:rPr>
        <w:t>Dimensión socioafectiva, privacidad y derivación humana</w:t>
      </w:r>
      <w:bookmarkEnd w:id="38"/>
    </w:p>
    <w:p w14:paraId="6D0E1F34" w14:textId="77777777" w:rsidR="002D4C36" w:rsidRPr="002D4C36" w:rsidRDefault="002D4C36" w:rsidP="002D4C36">
      <w:pPr>
        <w:rPr>
          <w:lang w:val="es-MX"/>
        </w:rPr>
      </w:pPr>
      <w:r w:rsidRPr="002D4C36">
        <w:rPr>
          <w:lang w:val="es-MX"/>
        </w:rPr>
        <w:t>La dimensión socioafectiva requiere límites claros. Un asistente puede utilizar lenguaje empático, pero no siente ni comprende del mismo modo que una persona. La personificación excesiva puede generar confianza indebida. La interfaz debe identificarse como sistema y no prometer confidencialidad absoluta. Si el estudiante expresa angustia, violencia o riesgo, se activa una derivación hacia servicios competentes. Los protocolos deben elaborarse con profesionales y probarse. El sistema no diagnostica ni reemplaza acompañamiento psicológico. En situaciones cotidianas puede ofrecer ánimo y normalizar el error, siempre que evite manipulación. El bienestar universitario depende de relaciones y pertenencia; la tutoría inteligente debe conectar con esa red, no convertirse en sustituto aislado (UNESCO, 2021; Miao &amp; Holmes, 2023).</w:t>
      </w:r>
    </w:p>
    <w:p w14:paraId="51D0010E" w14:textId="77777777" w:rsidR="002D4C36" w:rsidRPr="002D4C36" w:rsidRDefault="002D4C36" w:rsidP="002D4C36">
      <w:pPr>
        <w:rPr>
          <w:lang w:val="es-MX"/>
        </w:rPr>
      </w:pPr>
      <w:r w:rsidRPr="002D4C36">
        <w:rPr>
          <w:lang w:val="es-MX"/>
        </w:rPr>
        <w:t>La privacidad de la tutoría merece atención porque las conversaciones pueden contener dudas, errores y experiencias personales. Debe informarse qué se almacena, quién accede y con qué finalidad. No toda interacción necesita asociarse con identidad. Para práctica voluntaria puede utilizarse un modo con mínima recopilación. Si los datos se integran al curso, se requieren controles y plazos. Las conversaciones no deben reutilizarse automáticamente para entrenar modelos. El estudiante necesita una vía para borrar o corregir información cuando corresponda. Los docentes deberían recibir resúmenes pertinentes, no transcripciones completas, salvo que exista una finalidad clara. La confianza se protege mediante minimización y transparencia, no mediante vigilancia detallada del aprendizaje (Slade &amp; Prinsloo, 2013; UNESCO, 2021).</w:t>
      </w:r>
    </w:p>
    <w:p w14:paraId="33C556F8" w14:textId="77777777" w:rsidR="002D4C36" w:rsidRPr="002D4C36" w:rsidRDefault="002D4C36" w:rsidP="002D4C36">
      <w:pPr>
        <w:rPr>
          <w:lang w:val="es-MX"/>
        </w:rPr>
      </w:pPr>
      <w:r w:rsidRPr="002D4C36">
        <w:rPr>
          <w:lang w:val="es-MX"/>
        </w:rPr>
        <w:t xml:space="preserve">La derivación define cuándo interviene una persona. Puede activarse por solicitud, baja confianza, repetición de errores, contenido sensible o decisión de alto impacto. El tutor debe mostrar la opción de manera visible y transferir solo el contexto necesario. La institución necesita tiempos y responsables. Una derivación sin capacidad de respuesta genera frustración. En actividades docentes, el sistema puede sugerir llevar una pregunta a clase o reservar tutoría. Los casos </w:t>
      </w:r>
      <w:r w:rsidRPr="002D4C36">
        <w:rPr>
          <w:lang w:val="es-MX"/>
        </w:rPr>
        <w:lastRenderedPageBreak/>
        <w:t>frecuentes informan mejoras curriculares. La función de escalación demuestra que reconocer límites forma parte de la inteligencia del servicio. Un sistema que responde siempre puede parecer útil y, al mismo tiempo, aumentar errores. La abstención y la consulta son comportamientos deseables en contextos educativos (Tabassi, 2023; Miao &amp; Holmes, 2023).</w:t>
      </w:r>
    </w:p>
    <w:p w14:paraId="34A63C9D" w14:textId="01025EE1" w:rsidR="002D4C36" w:rsidRPr="002D4C36" w:rsidRDefault="002D4C36" w:rsidP="00171781">
      <w:pPr>
        <w:pStyle w:val="Ttulo3"/>
        <w:rPr>
          <w:lang w:val="es-MX"/>
        </w:rPr>
      </w:pPr>
      <w:bookmarkStart w:id="39" w:name="_Toc239440896"/>
      <w:r w:rsidRPr="002D4C36">
        <w:rPr>
          <w:lang w:val="es-MX"/>
        </w:rPr>
        <w:t>Tutoría entre pares, integración y evaluación</w:t>
      </w:r>
      <w:bookmarkEnd w:id="39"/>
    </w:p>
    <w:p w14:paraId="687028AD" w14:textId="77777777" w:rsidR="002D4C36" w:rsidRPr="002D4C36" w:rsidRDefault="002D4C36" w:rsidP="002D4C36">
      <w:pPr>
        <w:rPr>
          <w:lang w:val="es-MX"/>
        </w:rPr>
      </w:pPr>
      <w:r w:rsidRPr="002D4C36">
        <w:rPr>
          <w:lang w:val="es-MX"/>
        </w:rPr>
        <w:t xml:space="preserve">La tutoría entre pares puede complementarse con inteligencia artificial. El sistema ayuda a formar grupos, proponer preguntas o estructurar comentarios, mientras los estudiantes explican y negocian significados. La explicación a otra persona beneficia a quien la produce. La herramienta no debería evaluar de manera opaca la calidad del compañero ni reemplazar el intercambio. Puede ofrecer una rúbrica y pedir que cada comentario incluya una fortaleza, una pregunta y una sugerencia. El docente revisa muestras y atiende conflictos. La combinación amplía retroalimentación sin perder la dimensión social. También evita que todo apoyo se concentre en una relación individual con la plataforma. Aprender en universidad implica participar en una comunidad disciplinar (Chi &amp; Wylie, 2014; </w:t>
      </w:r>
      <w:proofErr w:type="spellStart"/>
      <w:r w:rsidRPr="002D4C36">
        <w:rPr>
          <w:lang w:val="es-MX"/>
        </w:rPr>
        <w:t>Laurillard</w:t>
      </w:r>
      <w:proofErr w:type="spellEnd"/>
      <w:r w:rsidRPr="002D4C36">
        <w:rPr>
          <w:lang w:val="es-MX"/>
        </w:rPr>
        <w:t>, 2012).</w:t>
      </w:r>
    </w:p>
    <w:p w14:paraId="31D5664A" w14:textId="77777777" w:rsidR="002D4C36" w:rsidRPr="002D4C36" w:rsidRDefault="002D4C36" w:rsidP="002D4C36">
      <w:pPr>
        <w:rPr>
          <w:lang w:val="es-MX"/>
        </w:rPr>
      </w:pPr>
      <w:r w:rsidRPr="002D4C36">
        <w:rPr>
          <w:lang w:val="es-MX"/>
        </w:rPr>
        <w:t>El tutor inteligente debe coordinarse con la enseñanza y no funcionar como currículo paralelo. Sus explicaciones, términos y métodos necesitan corresponder con los materiales. Cuando existen enfoques alternativos, debe presentarlos o indicar cuál utiliza el curso. El docente configura objetivos, fuentes y límites. También recibe información agregada para identificar dificultades comunes. Si el tutor corrige de una forma y el profesor evalúa otra, aumenta confusión. La integración requiere revisión conjunta entre especialistas disciplinares, diseñadores y técnicos. Las actualizaciones se prueban antes de publicarse. La coherencia no significa uniformidad total, sino transparencia sobre perspectivas y criterios (Molenaar, 2022; Miao &amp; Cukurova, 2024).</w:t>
      </w:r>
    </w:p>
    <w:p w14:paraId="62C1FEDF" w14:textId="77777777" w:rsidR="002D4C36" w:rsidRPr="002D4C36" w:rsidRDefault="002D4C36" w:rsidP="002D4C36">
      <w:pPr>
        <w:rPr>
          <w:lang w:val="es-MX"/>
        </w:rPr>
      </w:pPr>
      <w:r w:rsidRPr="002D4C36">
        <w:rPr>
          <w:lang w:val="es-MX"/>
        </w:rPr>
        <w:t>La evaluación de tutoría incluye resultados de aprendizaje, transferencia, retención, uso de pistas, autonomía, equidad y experiencia. Las comparaciones deben indicar qué apoyo recibió el grupo de referencia. Comparar un tutor intensivo con ausencia de apoyo puede sobreestimar valor. También conviene estudiar cuánto tiempo y trabajo requiere mantenerlo. Las métricas conversacionales, como número de mensajes, no demuestran aprendizaje. Se necesitan tareas independientes después de retirar la herramienta. Los análisis cualitativos permiten comprender cuándo ayuda o confunde. Los resultados deben desagregarse y los errores graves documentarse. La ampliación se decide después de varios ciclos, no por una demostración exitosa. La evidencia previa sobre tutores es prometedora, pero no permite asumir que cualquier chatbot generativo producirá los mismos efectos (</w:t>
      </w:r>
      <w:proofErr w:type="spellStart"/>
      <w:r w:rsidRPr="002D4C36">
        <w:rPr>
          <w:lang w:val="es-MX"/>
        </w:rPr>
        <w:t>VanLehn</w:t>
      </w:r>
      <w:proofErr w:type="spellEnd"/>
      <w:r w:rsidRPr="002D4C36">
        <w:rPr>
          <w:lang w:val="es-MX"/>
        </w:rPr>
        <w:t>, 2011; Kulik &amp; Fletcher, 2016).</w:t>
      </w:r>
    </w:p>
    <w:p w14:paraId="475B909F" w14:textId="77777777" w:rsidR="002D4C36" w:rsidRPr="002D4C36" w:rsidRDefault="002D4C36" w:rsidP="002D4C36">
      <w:pPr>
        <w:rPr>
          <w:lang w:val="es-MX"/>
        </w:rPr>
      </w:pPr>
      <w:r w:rsidRPr="002D4C36">
        <w:rPr>
          <w:lang w:val="es-MX"/>
        </w:rPr>
        <w:t xml:space="preserve">El principio de complementariedad resume la tutoría inteligente. La tecnología puede ofrecer disponibilidad, práctica y consistencia; las personas aportan interpretación situada, vínculo, cuidado y responsabilidad. Distribuir funciones exige analizar cada tarea. Una explicación </w:t>
      </w:r>
      <w:r w:rsidRPr="002D4C36">
        <w:rPr>
          <w:lang w:val="es-MX"/>
        </w:rPr>
        <w:lastRenderedPageBreak/>
        <w:t>rutinaria puede automatizarse con revisión; una decisión sobre progreso académico requiere juicio. El docente puede utilizar el tiempo liberado para conversaciones complejas, siempre que la automatización no genere una carga mayor de supervisión. Los estudiantes deben conservar acceso humano y aprender a pedirlo. La calidad del sistema híbrido se mide por la experiencia completa y no por el desempeño aislado de un modelo (Molenaar, 2022; OECD, 2026).</w:t>
      </w:r>
    </w:p>
    <w:p w14:paraId="6D8F2829" w14:textId="4ACF9A36" w:rsidR="002D4C36" w:rsidRPr="002D4C36" w:rsidRDefault="002D4C36" w:rsidP="00171781">
      <w:pPr>
        <w:pStyle w:val="Ttulo2"/>
        <w:rPr>
          <w:lang w:val="es-MX"/>
        </w:rPr>
      </w:pPr>
      <w:bookmarkStart w:id="40" w:name="_Toc239440897"/>
      <w:r w:rsidRPr="002D4C36">
        <w:rPr>
          <w:lang w:val="es-MX"/>
        </w:rPr>
        <w:t>Nuevas funciones del docente universitario</w:t>
      </w:r>
      <w:bookmarkEnd w:id="40"/>
    </w:p>
    <w:p w14:paraId="2804987E" w14:textId="3C4270DF" w:rsidR="002D4C36" w:rsidRPr="002D4C36" w:rsidRDefault="002D4C36" w:rsidP="00171781">
      <w:pPr>
        <w:pStyle w:val="Ttulo3"/>
        <w:rPr>
          <w:lang w:val="es-MX"/>
        </w:rPr>
      </w:pPr>
      <w:bookmarkStart w:id="41" w:name="_Toc239440898"/>
      <w:r w:rsidRPr="002D4C36">
        <w:rPr>
          <w:lang w:val="es-MX"/>
        </w:rPr>
        <w:t>Diseño, curaduría y mediación pedagógica</w:t>
      </w:r>
      <w:bookmarkEnd w:id="41"/>
    </w:p>
    <w:p w14:paraId="535AED51" w14:textId="77777777" w:rsidR="002D4C36" w:rsidRPr="002D4C36" w:rsidRDefault="002D4C36" w:rsidP="002D4C36">
      <w:pPr>
        <w:rPr>
          <w:lang w:val="es-MX"/>
        </w:rPr>
      </w:pPr>
      <w:r w:rsidRPr="002D4C36">
        <w:rPr>
          <w:lang w:val="es-MX"/>
        </w:rPr>
        <w:t>La incorporación de inteligencia artificial transforma funciones docentes, pero no elimina la centralidad del profesorado. La función se desplaza desde ser fuente exclusiva de información hacia diseñar experiencias, orientar criterios, acompañar procesos y garantizar calidad. Esta descripción no implica que transmitir conocimiento deje de ser importante. Las explicaciones expertas, la selección de problemas y el modelado disciplinar continúan siendo esenciales. Lo que cambia es la disponibilidad de información generada y la necesidad de enseñar a evaluarla. El docente integra conocimientos de contenido, pedagogía y tecnología, y decide cuándo una herramienta aporta valor. El marco TPACK ayuda a comprender que estos conocimientos se relacionan y no se suman de manera mecánica. Dominar una aplicación sin saber cómo aprende el estudiante no produce innovación pedagógica (Mishra &amp; Koehler, 2006; Miao &amp; Cukurova, 2024).</w:t>
      </w:r>
    </w:p>
    <w:p w14:paraId="624F2A92" w14:textId="77777777" w:rsidR="002D4C36" w:rsidRPr="002D4C36" w:rsidRDefault="002D4C36" w:rsidP="002D4C36">
      <w:pPr>
        <w:rPr>
          <w:lang w:val="es-MX"/>
        </w:rPr>
      </w:pPr>
      <w:r w:rsidRPr="002D4C36">
        <w:rPr>
          <w:lang w:val="es-MX"/>
        </w:rPr>
        <w:t>Como diseñador, el docente formula resultados, secuencia actividades y distribuye apoyos. La inteligencia artificial puede acelerar borradores, pero el profesor establece coherencia y nivel. Diseñar implica anticipar cómo podría usarse la herramienta, qué atajos aparecerán y qué evidencias serán necesarias. También supone crear actividades que mantengan valor aunque cambie una plataforma. Los problemas auténticos, la defensa de decisiones y la revisión de procesos resultan más estables que intentar construir tareas imposibles para la tecnología. El diseño docente debe incorporar alternativas accesibles y explicar usos permitidos. Esta función requiere tiempo y colaboración. La institución debe reconocerla como trabajo académico, no como esfuerzo adicional invisible (Biggs &amp; Tang, 2011; OECD, 2026).</w:t>
      </w:r>
    </w:p>
    <w:p w14:paraId="1220FD55" w14:textId="77777777" w:rsidR="002D4C36" w:rsidRPr="002D4C36" w:rsidRDefault="002D4C36" w:rsidP="002D4C36">
      <w:pPr>
        <w:rPr>
          <w:lang w:val="es-MX"/>
        </w:rPr>
      </w:pPr>
      <w:r w:rsidRPr="002D4C36">
        <w:rPr>
          <w:lang w:val="es-MX"/>
        </w:rPr>
        <w:t xml:space="preserve">Como curador, el docente selecciona fuentes, ejemplos y herramientas. La abundancia de contenido generado aumenta la importancia de decidir qué merece confianza. La curaduría examina autoría, evidencia, actualidad, licencia, diversidad y pertinencia. También organiza rutas para que el estudiante acceda al documento original y no dependa de resúmenes. Cuando se emplea un asistente basado en recuperación, el docente puede contribuir a definir la colección, pero necesita apoyo de bibliotecas y equipos técnicos. La curaduría no significa controlar toda lectura, sino construir un punto de partida y enseñar criterios para ampliar. El modelo puede sugerir recursos, mientras el docente verifica y contextualiza. Esta labor fortalece alfabetización </w:t>
      </w:r>
      <w:r w:rsidRPr="002D4C36">
        <w:rPr>
          <w:lang w:val="es-MX"/>
        </w:rPr>
        <w:lastRenderedPageBreak/>
        <w:t xml:space="preserve">informacional y protege contra referencias inventadas (Miao &amp; Holmes, 2023; </w:t>
      </w:r>
      <w:proofErr w:type="spellStart"/>
      <w:r w:rsidRPr="002D4C36">
        <w:rPr>
          <w:lang w:val="es-MX"/>
        </w:rPr>
        <w:t>Kasneci</w:t>
      </w:r>
      <w:proofErr w:type="spellEnd"/>
      <w:r w:rsidRPr="002D4C36">
        <w:rPr>
          <w:lang w:val="es-MX"/>
        </w:rPr>
        <w:t xml:space="preserve"> et al., 2023).</w:t>
      </w:r>
    </w:p>
    <w:p w14:paraId="16A354A3" w14:textId="77777777" w:rsidR="002D4C36" w:rsidRDefault="002D4C36" w:rsidP="002D4C36">
      <w:pPr>
        <w:rPr>
          <w:lang w:val="es-MX"/>
        </w:rPr>
      </w:pPr>
      <w:r w:rsidRPr="002D4C36">
        <w:rPr>
          <w:lang w:val="es-MX"/>
        </w:rPr>
        <w:t>Como mediador, el docente organiza diálogo entre estudiantes, conocimientos y herramientas. Observa interpretaciones, formula preguntas y conecta aportes. La mediación es especialmente importante cuando una respuesta automática parece concluyente. El profesor puede pedir que se identifiquen supuestos, fuentes y consecuencias. También ayuda a reconocer desacuerdos disciplinares que un modelo puede presentar como consenso. En clase, la inteligencia artificial puede convertirse en un tercer objeto de análisis: se compara su propuesta con evidencia y perspectivas humanas. Esta práctica evita una relación individual y silenciosa con la herramienta. El aprendizaje se vuelve público, discutible y compartido. La mediación protege la pluralidad y la responsabilidad argumentativa (Chi &amp; Wylie, 2014; UNESCO, 2021).</w:t>
      </w:r>
    </w:p>
    <w:p w14:paraId="2584D933" w14:textId="5DBC1F2F" w:rsidR="00AE243B" w:rsidRPr="002D4C36" w:rsidRDefault="008560C8" w:rsidP="002D4C36">
      <w:pPr>
        <w:rPr>
          <w:lang w:val="es-MX"/>
        </w:rPr>
      </w:pPr>
      <w:r>
        <w:rPr>
          <w:noProof/>
          <w:lang w:val="es-MX"/>
        </w:rPr>
        <w:drawing>
          <wp:inline distT="0" distB="0" distL="0" distR="0" wp14:anchorId="278240A4" wp14:editId="15052FDC">
            <wp:extent cx="5400675" cy="3600450"/>
            <wp:effectExtent l="0" t="0" r="9525" b="0"/>
            <wp:docPr id="193297343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12F2B1E2" w14:textId="7C50AC64" w:rsidR="002D4C36" w:rsidRPr="002D4C36" w:rsidRDefault="002D4C36" w:rsidP="00171781">
      <w:pPr>
        <w:pStyle w:val="Ttulo3"/>
        <w:rPr>
          <w:lang w:val="es-MX"/>
        </w:rPr>
      </w:pPr>
      <w:bookmarkStart w:id="42" w:name="_Toc239440899"/>
      <w:r w:rsidRPr="002D4C36">
        <w:rPr>
          <w:lang w:val="es-MX"/>
        </w:rPr>
        <w:t>Evaluación, interpretación de datos, mentoría y ética</w:t>
      </w:r>
      <w:bookmarkEnd w:id="42"/>
    </w:p>
    <w:p w14:paraId="039ED537" w14:textId="77777777" w:rsidR="002D4C36" w:rsidRPr="002D4C36" w:rsidRDefault="002D4C36" w:rsidP="002D4C36">
      <w:pPr>
        <w:rPr>
          <w:lang w:val="es-MX"/>
        </w:rPr>
      </w:pPr>
      <w:r w:rsidRPr="002D4C36">
        <w:rPr>
          <w:lang w:val="es-MX"/>
        </w:rPr>
        <w:t xml:space="preserve">Como diseñador de evaluación, el docente necesita redefinir evidencias. Un producto pulido ya no permite inferir por sí solo qué proceso ocurrió. Se vuelven relevantes los borradores, decisiones, fuentes, comentarios, desempeño en clase y defensa oral. Esto no significa vigilar cada acción, sino seleccionar evidencias representativas. Las reglas de uso deben ser coherentes con el resultado y comunicarse. El profesor también puede incorporar tareas donde la inteligencia artificial sea objeto de evaluación: detectar errores, mejorar instrucciones o comparar enfoques. Las rúbricas valoran exactitud, razonamiento, verificación, atribución y reflexión. La calificación automática puede apoyar aspectos delimitados, pero el docente conserva decisiones de alto </w:t>
      </w:r>
      <w:r w:rsidRPr="002D4C36">
        <w:rPr>
          <w:lang w:val="es-MX"/>
        </w:rPr>
        <w:lastRenderedPageBreak/>
        <w:t>impacto. El capítulo 5 profundizará estos cambios en evaluación (UNESCO IESALC, 2023; OECD, 2026).</w:t>
      </w:r>
    </w:p>
    <w:p w14:paraId="7F66559A" w14:textId="77777777" w:rsidR="002D4C36" w:rsidRPr="002D4C36" w:rsidRDefault="002D4C36" w:rsidP="002D4C36">
      <w:pPr>
        <w:rPr>
          <w:lang w:val="es-MX"/>
        </w:rPr>
      </w:pPr>
      <w:r w:rsidRPr="002D4C36">
        <w:rPr>
          <w:lang w:val="es-MX"/>
        </w:rPr>
        <w:t>Como intérprete de datos, el docente utiliza analítica para observar patrones y orientar apoyos. No necesita programar modelos, pero sí comprender que una alerta es probabilística y parcial. Debe preguntar qué mide, con qué datos y qué errores produce. La interpretación se combina con conocimiento del grupo y conversación. Un indicador de baja participación puede iniciar una pregunta, no justificar una conclusión. Los tableros deben presentar información accionable y evitar sobrecarga. La formación docente incluye alfabetización de datos, privacidad y sesgo. La institución conserva responsabilidad sobre validación técnica y cumplimiento. No debe exigir que cada profesor audite individualmente herramientas comerciales. La colaboración con especialistas convierte datos en apoyo sin desplazar el juicio profesional (</w:t>
      </w:r>
      <w:proofErr w:type="spellStart"/>
      <w:r w:rsidRPr="002D4C36">
        <w:rPr>
          <w:lang w:val="es-MX"/>
        </w:rPr>
        <w:t>Ifenthaler</w:t>
      </w:r>
      <w:proofErr w:type="spellEnd"/>
      <w:r w:rsidRPr="002D4C36">
        <w:rPr>
          <w:lang w:val="es-MX"/>
        </w:rPr>
        <w:t xml:space="preserve"> &amp; Yau, 2020; Miao &amp; Cukurova, 2024).</w:t>
      </w:r>
    </w:p>
    <w:p w14:paraId="13EEDEBF" w14:textId="77777777" w:rsidR="002D4C36" w:rsidRPr="002D4C36" w:rsidRDefault="002D4C36" w:rsidP="002D4C36">
      <w:pPr>
        <w:rPr>
          <w:lang w:val="es-MX"/>
        </w:rPr>
      </w:pPr>
      <w:r w:rsidRPr="002D4C36">
        <w:rPr>
          <w:lang w:val="es-MX"/>
        </w:rPr>
        <w:t>Como mentor, el docente acompaña desarrollo académico, identidad profesional y autonomía. Estas dimensiones requieren escucha, confianza y conocimiento contextual. Un sistema puede responder preguntas frecuentes o proponer recursos, pero no sustituye la relación educativa. El tiempo liberado por automatización debería fortalecer conversaciones de mayor valor, no reducir presencia humana. La mentoría ayuda a que el estudiante interprete retroalimentación, establezca metas y enfrente incertidumbre. También detecta situaciones que los datos no muestran. En grupos numerosos, el docente puede combinar espacios colectivos, tutoría entre pares y asistentes, manteniendo rutas de contacto. La inteligencia artificial amplía el alcance cuando se integra en una red de apoyo y no cuando se presenta como reemplazo económico del acompañamiento (Zimmerman, 2002; UNESCO, 2021).</w:t>
      </w:r>
    </w:p>
    <w:p w14:paraId="4DE40B25" w14:textId="77777777" w:rsidR="002D4C36" w:rsidRPr="002D4C36" w:rsidRDefault="002D4C36" w:rsidP="002D4C36">
      <w:pPr>
        <w:rPr>
          <w:lang w:val="es-MX"/>
        </w:rPr>
      </w:pPr>
      <w:r w:rsidRPr="002D4C36">
        <w:rPr>
          <w:lang w:val="es-MX"/>
        </w:rPr>
        <w:t>Como garante ético, el docente protege integridad, privacidad, equidad y autoría dentro de su práctica. No actúa solo; necesita políticas, herramientas aprobadas y canales de consulta. Puede explicar por qué ciertas actividades permiten asistencia y otras requieren desempeño independiente. También modela declaración de uso y respeto de fuentes. Ante una sospecha, debe evitar confiar exclusivamente en detectores automáticos, porque pueden producir falsos positivos. La conversación y la evidencia del proceso ofrecen una base más justa. El docente debe conocer qué datos no pueden compartirse y qué alternativas existen. La ética se enseña mediante decisiones concretas, no únicamente mediante prohibiciones (</w:t>
      </w:r>
      <w:proofErr w:type="spellStart"/>
      <w:r w:rsidRPr="002D4C36">
        <w:rPr>
          <w:lang w:val="es-MX"/>
        </w:rPr>
        <w:t>European</w:t>
      </w:r>
      <w:proofErr w:type="spellEnd"/>
      <w:r w:rsidRPr="002D4C36">
        <w:rPr>
          <w:lang w:val="es-MX"/>
        </w:rPr>
        <w:t xml:space="preserve"> </w:t>
      </w:r>
      <w:proofErr w:type="spellStart"/>
      <w:r w:rsidRPr="002D4C36">
        <w:rPr>
          <w:lang w:val="es-MX"/>
        </w:rPr>
        <w:t>Commission</w:t>
      </w:r>
      <w:proofErr w:type="spellEnd"/>
      <w:r w:rsidRPr="002D4C36">
        <w:rPr>
          <w:lang w:val="es-MX"/>
        </w:rPr>
        <w:t>, 2022; UNESCO IESALC, 2023).</w:t>
      </w:r>
    </w:p>
    <w:p w14:paraId="408C6867" w14:textId="7234C46B" w:rsidR="002D4C36" w:rsidRPr="002D4C36" w:rsidRDefault="002D4C36" w:rsidP="002D4C36">
      <w:pPr>
        <w:rPr>
          <w:lang w:val="es-MX"/>
        </w:rPr>
      </w:pPr>
      <w:r w:rsidRPr="002D4C36">
        <w:rPr>
          <w:b/>
          <w:bCs/>
          <w:lang w:val="es-MX"/>
        </w:rPr>
        <w:t xml:space="preserve">Tabla </w:t>
      </w:r>
      <w:r w:rsidR="00FA6F60">
        <w:rPr>
          <w:b/>
          <w:bCs/>
          <w:lang w:val="es-MX"/>
        </w:rPr>
        <w:t>2</w:t>
      </w:r>
      <w:r w:rsidRPr="002D4C36">
        <w:rPr>
          <w:b/>
          <w:bCs/>
          <w:lang w:val="es-MX"/>
        </w:rPr>
        <w:t>.4. Nuevas funciones del docente universitario</w:t>
      </w:r>
    </w:p>
    <w:tbl>
      <w:tblPr>
        <w:tblStyle w:val="Tablanormal2"/>
        <w:tblW w:w="8392" w:type="dxa"/>
        <w:tblLook w:val="04A0" w:firstRow="1" w:lastRow="0" w:firstColumn="1" w:lastColumn="0" w:noHBand="0" w:noVBand="1"/>
      </w:tblPr>
      <w:tblGrid>
        <w:gridCol w:w="2098"/>
        <w:gridCol w:w="2098"/>
        <w:gridCol w:w="2098"/>
        <w:gridCol w:w="2098"/>
      </w:tblGrid>
      <w:tr w:rsidR="002D4C36" w:rsidRPr="002D4C36" w14:paraId="37E20B84" w14:textId="77777777" w:rsidTr="001717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658E08B7" w14:textId="77777777" w:rsidR="002D4C36" w:rsidRPr="0023215C" w:rsidRDefault="002D4C36" w:rsidP="0023215C">
            <w:pPr>
              <w:spacing w:before="0" w:after="0" w:line="240" w:lineRule="auto"/>
              <w:jc w:val="left"/>
              <w:rPr>
                <w:sz w:val="20"/>
                <w:szCs w:val="20"/>
                <w:lang w:val="es-MX"/>
              </w:rPr>
            </w:pPr>
            <w:r w:rsidRPr="0023215C">
              <w:rPr>
                <w:sz w:val="20"/>
                <w:szCs w:val="20"/>
                <w:lang w:val="es-MX"/>
              </w:rPr>
              <w:t>Función</w:t>
            </w:r>
          </w:p>
        </w:tc>
        <w:tc>
          <w:tcPr>
            <w:tcW w:w="2098" w:type="dxa"/>
            <w:hideMark/>
          </w:tcPr>
          <w:p w14:paraId="14F13165" w14:textId="77777777" w:rsidR="002D4C36" w:rsidRPr="0023215C" w:rsidRDefault="002D4C36" w:rsidP="0023215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Responsabilidad central</w:t>
            </w:r>
          </w:p>
        </w:tc>
        <w:tc>
          <w:tcPr>
            <w:tcW w:w="2098" w:type="dxa"/>
            <w:hideMark/>
          </w:tcPr>
          <w:p w14:paraId="0400AC2A" w14:textId="77777777" w:rsidR="002D4C36" w:rsidRPr="0023215C" w:rsidRDefault="002D4C36" w:rsidP="0023215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Aporte posible de la IA</w:t>
            </w:r>
          </w:p>
        </w:tc>
        <w:tc>
          <w:tcPr>
            <w:tcW w:w="2098" w:type="dxa"/>
            <w:hideMark/>
          </w:tcPr>
          <w:p w14:paraId="28D96AC7" w14:textId="77777777" w:rsidR="002D4C36" w:rsidRPr="0023215C" w:rsidRDefault="002D4C36" w:rsidP="0023215C">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Condición de calidad</w:t>
            </w:r>
          </w:p>
        </w:tc>
      </w:tr>
      <w:tr w:rsidR="002D4C36" w:rsidRPr="002D4C36" w14:paraId="76774D98" w14:textId="77777777" w:rsidTr="00171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75E09BC5" w14:textId="77777777" w:rsidR="002D4C36" w:rsidRPr="0023215C" w:rsidRDefault="002D4C36" w:rsidP="0023215C">
            <w:pPr>
              <w:spacing w:before="0" w:after="0" w:line="240" w:lineRule="auto"/>
              <w:jc w:val="left"/>
              <w:rPr>
                <w:sz w:val="20"/>
                <w:szCs w:val="20"/>
                <w:lang w:val="es-MX"/>
              </w:rPr>
            </w:pPr>
            <w:r w:rsidRPr="0023215C">
              <w:rPr>
                <w:sz w:val="20"/>
                <w:szCs w:val="20"/>
                <w:lang w:val="es-MX"/>
              </w:rPr>
              <w:t>Diseñador</w:t>
            </w:r>
          </w:p>
        </w:tc>
        <w:tc>
          <w:tcPr>
            <w:tcW w:w="2098" w:type="dxa"/>
            <w:hideMark/>
          </w:tcPr>
          <w:p w14:paraId="44C4C615"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Alinear resultados, actividades y evaluación</w:t>
            </w:r>
          </w:p>
        </w:tc>
        <w:tc>
          <w:tcPr>
            <w:tcW w:w="2098" w:type="dxa"/>
            <w:hideMark/>
          </w:tcPr>
          <w:p w14:paraId="4BEFF4A9"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Proponer variantes y recursos</w:t>
            </w:r>
          </w:p>
        </w:tc>
        <w:tc>
          <w:tcPr>
            <w:tcW w:w="2098" w:type="dxa"/>
            <w:hideMark/>
          </w:tcPr>
          <w:p w14:paraId="4F89D9DA"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Juicio pedagógico final</w:t>
            </w:r>
          </w:p>
        </w:tc>
      </w:tr>
      <w:tr w:rsidR="002D4C36" w:rsidRPr="002D4C36" w14:paraId="38C788DE" w14:textId="77777777" w:rsidTr="00171781">
        <w:tc>
          <w:tcPr>
            <w:cnfStyle w:val="001000000000" w:firstRow="0" w:lastRow="0" w:firstColumn="1" w:lastColumn="0" w:oddVBand="0" w:evenVBand="0" w:oddHBand="0" w:evenHBand="0" w:firstRowFirstColumn="0" w:firstRowLastColumn="0" w:lastRowFirstColumn="0" w:lastRowLastColumn="0"/>
            <w:tcW w:w="2098" w:type="dxa"/>
            <w:hideMark/>
          </w:tcPr>
          <w:p w14:paraId="59E8B269" w14:textId="77777777" w:rsidR="002D4C36" w:rsidRPr="0023215C" w:rsidRDefault="002D4C36" w:rsidP="0023215C">
            <w:pPr>
              <w:spacing w:before="0" w:after="0" w:line="240" w:lineRule="auto"/>
              <w:jc w:val="left"/>
              <w:rPr>
                <w:sz w:val="20"/>
                <w:szCs w:val="20"/>
                <w:lang w:val="es-MX"/>
              </w:rPr>
            </w:pPr>
            <w:r w:rsidRPr="0023215C">
              <w:rPr>
                <w:sz w:val="20"/>
                <w:szCs w:val="20"/>
                <w:lang w:val="es-MX"/>
              </w:rPr>
              <w:lastRenderedPageBreak/>
              <w:t>Curador</w:t>
            </w:r>
          </w:p>
        </w:tc>
        <w:tc>
          <w:tcPr>
            <w:tcW w:w="2098" w:type="dxa"/>
            <w:hideMark/>
          </w:tcPr>
          <w:p w14:paraId="4F113917"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Seleccionar fuentes y ejemplos confiables</w:t>
            </w:r>
          </w:p>
        </w:tc>
        <w:tc>
          <w:tcPr>
            <w:tcW w:w="2098" w:type="dxa"/>
            <w:hideMark/>
          </w:tcPr>
          <w:p w14:paraId="62C8041D"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Ampliar búsquedas y formatos</w:t>
            </w:r>
          </w:p>
        </w:tc>
        <w:tc>
          <w:tcPr>
            <w:tcW w:w="2098" w:type="dxa"/>
            <w:hideMark/>
          </w:tcPr>
          <w:p w14:paraId="2E52C7CB"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Trazabilidad y verificación</w:t>
            </w:r>
          </w:p>
        </w:tc>
      </w:tr>
      <w:tr w:rsidR="002D4C36" w:rsidRPr="002D4C36" w14:paraId="371A0C82" w14:textId="77777777" w:rsidTr="00171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59DA897C" w14:textId="77777777" w:rsidR="002D4C36" w:rsidRPr="0023215C" w:rsidRDefault="002D4C36" w:rsidP="0023215C">
            <w:pPr>
              <w:spacing w:before="0" w:after="0" w:line="240" w:lineRule="auto"/>
              <w:jc w:val="left"/>
              <w:rPr>
                <w:sz w:val="20"/>
                <w:szCs w:val="20"/>
                <w:lang w:val="es-MX"/>
              </w:rPr>
            </w:pPr>
            <w:r w:rsidRPr="0023215C">
              <w:rPr>
                <w:sz w:val="20"/>
                <w:szCs w:val="20"/>
                <w:lang w:val="es-MX"/>
              </w:rPr>
              <w:t>Mediador</w:t>
            </w:r>
          </w:p>
        </w:tc>
        <w:tc>
          <w:tcPr>
            <w:tcW w:w="2098" w:type="dxa"/>
            <w:hideMark/>
          </w:tcPr>
          <w:p w14:paraId="2FD935E9"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Organizar diálogo y acompañamiento</w:t>
            </w:r>
          </w:p>
        </w:tc>
        <w:tc>
          <w:tcPr>
            <w:tcW w:w="2098" w:type="dxa"/>
            <w:hideMark/>
          </w:tcPr>
          <w:p w14:paraId="3AF5F9A5"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Formular preguntas o simulaciones</w:t>
            </w:r>
          </w:p>
        </w:tc>
        <w:tc>
          <w:tcPr>
            <w:tcW w:w="2098" w:type="dxa"/>
            <w:hideMark/>
          </w:tcPr>
          <w:p w14:paraId="09770C28"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Interacción humana significativa</w:t>
            </w:r>
          </w:p>
        </w:tc>
      </w:tr>
      <w:tr w:rsidR="002D4C36" w:rsidRPr="002D4C36" w14:paraId="5069949E" w14:textId="77777777" w:rsidTr="00171781">
        <w:tc>
          <w:tcPr>
            <w:cnfStyle w:val="001000000000" w:firstRow="0" w:lastRow="0" w:firstColumn="1" w:lastColumn="0" w:oddVBand="0" w:evenVBand="0" w:oddHBand="0" w:evenHBand="0" w:firstRowFirstColumn="0" w:firstRowLastColumn="0" w:lastRowFirstColumn="0" w:lastRowLastColumn="0"/>
            <w:tcW w:w="2098" w:type="dxa"/>
            <w:hideMark/>
          </w:tcPr>
          <w:p w14:paraId="7D5EB6FB" w14:textId="77777777" w:rsidR="002D4C36" w:rsidRPr="0023215C" w:rsidRDefault="002D4C36" w:rsidP="0023215C">
            <w:pPr>
              <w:spacing w:before="0" w:after="0" w:line="240" w:lineRule="auto"/>
              <w:jc w:val="left"/>
              <w:rPr>
                <w:sz w:val="20"/>
                <w:szCs w:val="20"/>
                <w:lang w:val="es-MX"/>
              </w:rPr>
            </w:pPr>
            <w:r w:rsidRPr="0023215C">
              <w:rPr>
                <w:sz w:val="20"/>
                <w:szCs w:val="20"/>
                <w:lang w:val="es-MX"/>
              </w:rPr>
              <w:t>Intérprete de datos</w:t>
            </w:r>
          </w:p>
        </w:tc>
        <w:tc>
          <w:tcPr>
            <w:tcW w:w="2098" w:type="dxa"/>
            <w:hideMark/>
          </w:tcPr>
          <w:p w14:paraId="359EC0A2"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Relacionar indicadores con el contexto</w:t>
            </w:r>
          </w:p>
        </w:tc>
        <w:tc>
          <w:tcPr>
            <w:tcW w:w="2098" w:type="dxa"/>
            <w:hideMark/>
          </w:tcPr>
          <w:p w14:paraId="2650CDA9"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Resumir patrones y alertas</w:t>
            </w:r>
          </w:p>
        </w:tc>
        <w:tc>
          <w:tcPr>
            <w:tcW w:w="2098" w:type="dxa"/>
            <w:hideMark/>
          </w:tcPr>
          <w:p w14:paraId="04EE98D3" w14:textId="77777777" w:rsidR="002D4C36" w:rsidRPr="0023215C" w:rsidRDefault="002D4C36" w:rsidP="0023215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lang w:val="es-MX"/>
              </w:rPr>
            </w:pPr>
            <w:r w:rsidRPr="0023215C">
              <w:rPr>
                <w:sz w:val="20"/>
                <w:szCs w:val="20"/>
                <w:lang w:val="es-MX"/>
              </w:rPr>
              <w:t>No convertir probabilidades en diagnósticos</w:t>
            </w:r>
          </w:p>
        </w:tc>
      </w:tr>
      <w:tr w:rsidR="002D4C36" w:rsidRPr="002D4C36" w14:paraId="1A22125A" w14:textId="77777777" w:rsidTr="00171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hideMark/>
          </w:tcPr>
          <w:p w14:paraId="7D77538D" w14:textId="77777777" w:rsidR="002D4C36" w:rsidRPr="0023215C" w:rsidRDefault="002D4C36" w:rsidP="0023215C">
            <w:pPr>
              <w:spacing w:before="0" w:after="0" w:line="240" w:lineRule="auto"/>
              <w:jc w:val="left"/>
              <w:rPr>
                <w:sz w:val="20"/>
                <w:szCs w:val="20"/>
                <w:lang w:val="es-MX"/>
              </w:rPr>
            </w:pPr>
            <w:r w:rsidRPr="0023215C">
              <w:rPr>
                <w:sz w:val="20"/>
                <w:szCs w:val="20"/>
                <w:lang w:val="es-MX"/>
              </w:rPr>
              <w:t>Garante ético</w:t>
            </w:r>
          </w:p>
        </w:tc>
        <w:tc>
          <w:tcPr>
            <w:tcW w:w="2098" w:type="dxa"/>
            <w:hideMark/>
          </w:tcPr>
          <w:p w14:paraId="65CD467A"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Proteger integridad, equidad y privacidad</w:t>
            </w:r>
          </w:p>
        </w:tc>
        <w:tc>
          <w:tcPr>
            <w:tcW w:w="2098" w:type="dxa"/>
            <w:hideMark/>
          </w:tcPr>
          <w:p w14:paraId="0F1592B6"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Apoyar controles documentados</w:t>
            </w:r>
          </w:p>
        </w:tc>
        <w:tc>
          <w:tcPr>
            <w:tcW w:w="2098" w:type="dxa"/>
            <w:hideMark/>
          </w:tcPr>
          <w:p w14:paraId="49AA022B" w14:textId="77777777" w:rsidR="002D4C36" w:rsidRPr="0023215C" w:rsidRDefault="002D4C36" w:rsidP="0023215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lang w:val="es-MX"/>
              </w:rPr>
            </w:pPr>
            <w:r w:rsidRPr="0023215C">
              <w:rPr>
                <w:sz w:val="20"/>
                <w:szCs w:val="20"/>
                <w:lang w:val="es-MX"/>
              </w:rPr>
              <w:t>Políticas, autoridad y rendición de cuentas</w:t>
            </w:r>
          </w:p>
        </w:tc>
      </w:tr>
    </w:tbl>
    <w:p w14:paraId="2826BB4C" w14:textId="77777777" w:rsidR="002D4C36" w:rsidRPr="002D4C36" w:rsidRDefault="002D4C36" w:rsidP="002D4C36">
      <w:pPr>
        <w:rPr>
          <w:lang w:val="es-MX"/>
        </w:rPr>
      </w:pPr>
      <w:r w:rsidRPr="002D4C36">
        <w:rPr>
          <w:i/>
          <w:iCs/>
          <w:lang w:val="es-MX"/>
        </w:rPr>
        <w:t>Fuente: elaboración propia a partir de las referencias citadas en el apartado.</w:t>
      </w:r>
    </w:p>
    <w:p w14:paraId="70EC19B7" w14:textId="57E29465" w:rsidR="002D4C36" w:rsidRPr="002D4C36" w:rsidRDefault="002D4C36" w:rsidP="0023215C">
      <w:pPr>
        <w:pStyle w:val="Ttulo3"/>
        <w:rPr>
          <w:lang w:val="es-MX"/>
        </w:rPr>
      </w:pPr>
      <w:bookmarkStart w:id="43" w:name="_Toc239440900"/>
      <w:r w:rsidRPr="002D4C36">
        <w:rPr>
          <w:lang w:val="es-MX"/>
        </w:rPr>
        <w:t>Investigación, formación profesional y comunidades de práctica</w:t>
      </w:r>
      <w:bookmarkEnd w:id="43"/>
    </w:p>
    <w:p w14:paraId="2CA369C8" w14:textId="77777777" w:rsidR="002D4C36" w:rsidRPr="002D4C36" w:rsidRDefault="002D4C36" w:rsidP="002D4C36">
      <w:pPr>
        <w:rPr>
          <w:lang w:val="es-MX"/>
        </w:rPr>
      </w:pPr>
      <w:r w:rsidRPr="002D4C36">
        <w:rPr>
          <w:lang w:val="es-MX"/>
        </w:rPr>
        <w:t>Como investigador de su práctica, el docente formula preguntas, recoge evidencia y revisa diseños. Un piloto puede comparar versiones de una actividad, analizar trabajos y conversar con estudiantes. La investigación debe cumplir requisitos éticos cuando busca producir conocimiento generalizable. Incluso en mejora interna, conviene documentar condiciones y límites. Compartir resultados negativos es valioso, porque evita que otros repitan errores. Las comunidades universitarias pueden construir repositorios de actividades validadas y criterios, sin asumir que una experiencia se transfiere intacta entre disciplinas. La investigación docente conecta innovación con aprendizaje institucional y reduce dependencia de afirmaciones comerciales (Bond et al., 2024; Crompton &amp; Burke, 2023).</w:t>
      </w:r>
    </w:p>
    <w:p w14:paraId="141DF181" w14:textId="77777777" w:rsidR="002D4C36" w:rsidRPr="002D4C36" w:rsidRDefault="002D4C36" w:rsidP="002D4C36">
      <w:pPr>
        <w:rPr>
          <w:lang w:val="es-MX"/>
        </w:rPr>
      </w:pPr>
      <w:r w:rsidRPr="002D4C36">
        <w:rPr>
          <w:lang w:val="es-MX"/>
        </w:rPr>
        <w:t>La formación profesional debe avanzar desde alfabetización básica hacia integración y creación. Los docentes necesitan comprender capacidades y límites, utilizar herramientas de manera responsable, diseñar actividades, interpretar datos y participar en gobernanza. La capacitación aislada sobre instrucciones es insuficiente. Conviene trabajar con casos disciplinares, tiempo para probar y acompañamiento. Los niveles de experiencia serán diferentes, por lo que se necesitan rutas flexibles. También es importante reconocer preocupaciones legítimas sobre carga, privacidad y calidad. La participación no debe imponerse mediante entusiasmo obligatorio. La competencia se construye cuando existe oportunidad de experimentar, recibir retroalimentación y decidir con autonomía (Miao &amp; Cukurova, 2024).</w:t>
      </w:r>
    </w:p>
    <w:p w14:paraId="5BC69F27" w14:textId="77777777" w:rsidR="002D4C36" w:rsidRPr="002D4C36" w:rsidRDefault="002D4C36" w:rsidP="002D4C36">
      <w:pPr>
        <w:rPr>
          <w:lang w:val="es-MX"/>
        </w:rPr>
      </w:pPr>
      <w:r w:rsidRPr="002D4C36">
        <w:rPr>
          <w:lang w:val="es-MX"/>
        </w:rPr>
        <w:t>Las comunidades de práctica permiten que el aprendizaje docente sea colectivo. Un profesor puede compartir una actividad, otro identifica riesgos y un tercero aporta evidencia. Bibliotecarios, diseñadores, especialistas en accesibilidad y técnicos amplían la perspectiva. Estas comunidades pueden elaborar guías, bancos de ejemplos y protocolos. También ayudan a responder a actualizaciones sin que cada persona empiece desde cero. La coordinación debe evitar estandarizar en exceso. Las disciplinas poseen formas distintas de conocimiento y evaluación. Los principios comunes se combinan con adaptación local. El liderazgo facilita recursos, reconocimiento y espacios. La innovación sostenible se apoya en redes, no en docentes aislados que resuelven problemas fuera de su jornada (OECD, 2023; Miao &amp; Cukurova, 2024).</w:t>
      </w:r>
    </w:p>
    <w:p w14:paraId="6DD48B55" w14:textId="77777777" w:rsidR="002D4C36" w:rsidRPr="002D4C36" w:rsidRDefault="002D4C36" w:rsidP="002D4C36">
      <w:pPr>
        <w:rPr>
          <w:lang w:val="es-MX"/>
        </w:rPr>
      </w:pPr>
      <w:r w:rsidRPr="002D4C36">
        <w:rPr>
          <w:lang w:val="es-MX"/>
        </w:rPr>
        <w:lastRenderedPageBreak/>
        <w:t>La carga laboral constituye un criterio de evaluación. Generar materiales puede ahorrar tiempo, pero revisar errores, configurar plataformas y atender consultas nuevas puede aumentarlo. Los beneficios deben medirse en ciclos completos. También deben considerarse responsabilidades adicionales y disponibilidad esperada. Un asistente que responde permanentemente no significa que el docente deba hacerlo. Las instituciones necesitan acuerdos sobre datos, propiedad intelectual, soporte y evaluación. Si el trabajo docente alimenta sistemas o colecciones, deben reconocerse autoría y derechos. La adopción responsable no utiliza la automatización como justificación automática para aumentar grupos o reducir personal. La calidad educativa depende de condiciones de trabajo que permitan diseñar, acompañar y revisar (UNESCO, 2021; OECD, 2026).</w:t>
      </w:r>
    </w:p>
    <w:p w14:paraId="0DF238DD" w14:textId="3728A61F" w:rsidR="002D4C36" w:rsidRPr="002D4C36" w:rsidRDefault="002D4C36" w:rsidP="0023215C">
      <w:pPr>
        <w:pStyle w:val="Ttulo3"/>
        <w:rPr>
          <w:lang w:val="es-MX"/>
        </w:rPr>
      </w:pPr>
      <w:bookmarkStart w:id="44" w:name="_Toc239440901"/>
      <w:r w:rsidRPr="002D4C36">
        <w:rPr>
          <w:lang w:val="es-MX"/>
        </w:rPr>
        <w:t>Agencia docente, transparencia y liderazgo académico</w:t>
      </w:r>
      <w:bookmarkEnd w:id="44"/>
    </w:p>
    <w:p w14:paraId="207C28DD" w14:textId="77777777" w:rsidR="002D4C36" w:rsidRPr="002D4C36" w:rsidRDefault="002D4C36" w:rsidP="002D4C36">
      <w:pPr>
        <w:rPr>
          <w:lang w:val="es-MX"/>
        </w:rPr>
      </w:pPr>
      <w:r w:rsidRPr="002D4C36">
        <w:rPr>
          <w:lang w:val="es-MX"/>
        </w:rPr>
        <w:t>La agencia docente significa capacidad real para decidir sobre fines y métodos. Puede debilitarse cuando una plataforma impone secuencias, contenidos o métricas. La universidad debe permitir configurar, rechazar recomendaciones y elegir alternativas. La supervisión humana no es significativa si el profesor carece de información o autoridad. Los procesos de compra y gobernanza deben incluir representación docente. También se requieren mecanismos para reportar incidentes y detener una función. La tecnología puede ampliar agencia al ofrecer información y opciones, siempre que la persona conserve control. Proteger esta capacidad es esencial porque la enseñanza implica responsabilidad profesional que no puede transferirse a un proveedor (Molenaar, 2022; Miao &amp; Cukurova, 2024).</w:t>
      </w:r>
    </w:p>
    <w:p w14:paraId="56387110" w14:textId="77777777" w:rsidR="002D4C36" w:rsidRPr="002D4C36" w:rsidRDefault="002D4C36" w:rsidP="002D4C36">
      <w:pPr>
        <w:rPr>
          <w:lang w:val="es-MX"/>
        </w:rPr>
      </w:pPr>
      <w:r w:rsidRPr="002D4C36">
        <w:rPr>
          <w:lang w:val="es-MX"/>
        </w:rPr>
        <w:t>La relación con los estudiantes debe basarse en transparencia y diálogo. El docente explica qué sistemas utiliza, qué datos procesan y cómo afectan la actividad. También escucha usos emergentes y dificultades. Las normas pueden construirse mediante acuerdos de curso dentro del marco institucional. Esta participación aumenta comprensión y permite ajustar. No todos los estudiantes poseen la misma experiencia ni acceso, por lo que la enseñanza incluye formación y alternativas. La transparencia no exige revelar detalles técnicos irrelevantes; debe comunicar información necesaria para decidir y reclamar. Cuando ocurre un error, el docente reconoce, corrige y documenta. Esta actitud modela responsabilidad y evita presentar la inteligencia artificial como infalible (UNESCO, 2021; Miao &amp; Holmes, 2023).</w:t>
      </w:r>
    </w:p>
    <w:p w14:paraId="4E56574A" w14:textId="77777777" w:rsidR="002D4C36" w:rsidRPr="002D4C36" w:rsidRDefault="002D4C36" w:rsidP="002D4C36">
      <w:pPr>
        <w:rPr>
          <w:lang w:val="es-MX"/>
        </w:rPr>
      </w:pPr>
      <w:r w:rsidRPr="002D4C36">
        <w:rPr>
          <w:lang w:val="es-MX"/>
        </w:rPr>
        <w:t xml:space="preserve">El liderazgo académico crea condiciones para nuevas funciones docentes. Define una visión centrada en aprendizaje, coordina políticas, financia infraestructura y protege tiempo de formación. También distingue experimentación de uso consolidado. Los pilotos tienen responsables, criterios y fecha de revisión. Las decisiones se comunican y los resultados se comparten. El liderazgo debe evitar dos extremos: dejar toda iniciativa a individuos o centralizar de forma que impida adaptación. Un modelo distribuido establece principios comunes y apoya </w:t>
      </w:r>
      <w:r w:rsidRPr="002D4C36">
        <w:rPr>
          <w:lang w:val="es-MX"/>
        </w:rPr>
        <w:lastRenderedPageBreak/>
        <w:t>innovación local. La calidad se asegura mediante evaluación y participación. Las autoridades también negocian con proveedores y protegen autonomía institucional (OECD, 2023; Tabassi, 2023).</w:t>
      </w:r>
    </w:p>
    <w:p w14:paraId="615FA1F9" w14:textId="6189892C" w:rsidR="002D4C36" w:rsidRPr="002D4C36" w:rsidRDefault="002D4C36" w:rsidP="0023215C">
      <w:pPr>
        <w:pStyle w:val="Ttulo3"/>
        <w:rPr>
          <w:lang w:val="es-MX"/>
        </w:rPr>
      </w:pPr>
      <w:bookmarkStart w:id="45" w:name="_Toc239440902"/>
      <w:r w:rsidRPr="002D4C36">
        <w:rPr>
          <w:lang w:val="es-MX"/>
        </w:rPr>
        <w:t>Distribución de funciones, identidad y futuro docente</w:t>
      </w:r>
      <w:bookmarkEnd w:id="45"/>
    </w:p>
    <w:p w14:paraId="2CD5C378" w14:textId="77777777" w:rsidR="002D4C36" w:rsidRPr="002D4C36" w:rsidRDefault="002D4C36" w:rsidP="002D4C36">
      <w:pPr>
        <w:rPr>
          <w:lang w:val="es-MX"/>
        </w:rPr>
      </w:pPr>
      <w:r w:rsidRPr="002D4C36">
        <w:rPr>
          <w:lang w:val="es-MX"/>
        </w:rPr>
        <w:t>Las nuevas funciones no constituyen una lista adicional que deba asumir una sola persona. Requieren distribución de trabajo. Diseñadores instruccionales apoyan experiencias; bibliotecas fortalecen curaduría; unidades de inclusión revisan accesibilidad; equipos de datos validan analítica; áreas jurídicas y de seguridad protegen información. El docente mantiene liderazgo pedagógico y colabora. Esta organización evita expectativas imposibles y mejora decisiones. También favorece continuidad cuando una persona cambia. La institución debe definir responsabilidades y canales. Un sistema educativo con inteligencia artificial es una infraestructura sociotécnica, no una herramienta personal instalada en un curso (Bond et al., 2024; UNESCO, 2021).</w:t>
      </w:r>
    </w:p>
    <w:p w14:paraId="1FB8AFA8" w14:textId="77777777" w:rsidR="002D4C36" w:rsidRPr="002D4C36" w:rsidRDefault="002D4C36" w:rsidP="002D4C36">
      <w:pPr>
        <w:rPr>
          <w:lang w:val="es-MX"/>
        </w:rPr>
      </w:pPr>
      <w:r w:rsidRPr="002D4C36">
        <w:rPr>
          <w:lang w:val="es-MX"/>
        </w:rPr>
        <w:t>La identidad profesional docente puede experimentar tensión cuando la tecnología produce explicaciones y materiales. Sin embargo, el valor del profesor no reside en generar texto con rapidez. Se encuentra en comprender a una comunidad, seleccionar propósitos, interpretar evidencias, sostener exigencia y cuidado, y asumir responsabilidad. La inteligencia artificial puede volver más visible esta dimensión. También obliga a revisar prácticas que dependían de tareas rutinarias. La transición requiere acompañamiento y espacios para debatir temores, no discursos que anuncien reemplazo. Una visión de complementariedad reconoce capacidades diferentes y busca combinarlas. La confianza se construye cuando los docentes participan en las decisiones y observan beneficios reales para su enseñanza (Miao &amp; Cukurova, 2024; OECD, 2026).</w:t>
      </w:r>
    </w:p>
    <w:p w14:paraId="0B378A70" w14:textId="4E290B95" w:rsidR="0023215C" w:rsidRDefault="002D4C36" w:rsidP="002D4C36">
      <w:pPr>
        <w:rPr>
          <w:lang w:val="es-MX"/>
        </w:rPr>
      </w:pPr>
      <w:r w:rsidRPr="002D4C36">
        <w:rPr>
          <w:lang w:val="es-MX"/>
        </w:rPr>
        <w:t>En el horizonte cercano, el docente trabajará con sistemas más integrados y capaces de actuar. Esto aumenta la necesidad de juicio, configuración y vigilancia proporcional. Las funciones repetitivas pueden automatizarse, mientras crecen la importancia del diseño, la mentoría y la evaluación auténtica. No existe un único perfil futuro. Las disciplinas y modalidades demandarán combinaciones distintas. La preparación más robusta consiste en desarrollar principios transferibles: comenzar por el aprendizaje, verificar evidencia, proteger datos, mantener alternativas, evaluar efectos y conservar agencia. Estos principios permiten adaptarse a nuevas herramientas sin reconstruir toda la práctica cada vez (UNESCO, 2021; OECD, 2026).</w:t>
      </w:r>
    </w:p>
    <w:p w14:paraId="04660AD6" w14:textId="7C0D46C0" w:rsidR="00CB05C3" w:rsidRDefault="000006BD" w:rsidP="002D4C36">
      <w:pPr>
        <w:rPr>
          <w:lang w:val="es-MX"/>
        </w:rPr>
      </w:pPr>
      <w:r>
        <w:rPr>
          <w:noProof/>
          <w:lang w:val="es-MX"/>
          <w14:ligatures w14:val="standardContextual"/>
        </w:rPr>
        <w:lastRenderedPageBreak/>
        <w:drawing>
          <wp:inline distT="0" distB="0" distL="0" distR="0" wp14:anchorId="246033A8" wp14:editId="597309A3">
            <wp:extent cx="5400040" cy="3599815"/>
            <wp:effectExtent l="0" t="0" r="0" b="635"/>
            <wp:docPr id="153848632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86326" name="Imagen 15384863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inline>
        </w:drawing>
      </w:r>
    </w:p>
    <w:p w14:paraId="17AE3AC2" w14:textId="77777777" w:rsidR="0023215C" w:rsidRDefault="0023215C">
      <w:pPr>
        <w:spacing w:before="0" w:after="160" w:line="278" w:lineRule="auto"/>
        <w:jc w:val="left"/>
        <w:rPr>
          <w:lang w:val="es-MX"/>
        </w:rPr>
      </w:pPr>
      <w:r>
        <w:rPr>
          <w:lang w:val="es-MX"/>
        </w:rPr>
        <w:br w:type="page"/>
      </w:r>
    </w:p>
    <w:p w14:paraId="59116759" w14:textId="19C37373" w:rsidR="00FD016B" w:rsidRDefault="00A337EC" w:rsidP="00FD016B">
      <w:pPr>
        <w:pStyle w:val="Ttulo1"/>
        <w:rPr>
          <w:bCs/>
        </w:rPr>
      </w:pPr>
      <w:bookmarkStart w:id="46" w:name="_Toc239440903"/>
      <w:r w:rsidRPr="00FD016B">
        <w:lastRenderedPageBreak/>
        <w:t xml:space="preserve">Capítulo </w:t>
      </w:r>
      <w:r w:rsidR="00C645D4">
        <w:t>3</w:t>
      </w:r>
      <w:r w:rsidR="00F3437D">
        <w:t xml:space="preserve">: </w:t>
      </w:r>
      <w:r w:rsidRPr="00FD016B">
        <w:rPr>
          <w:bCs/>
        </w:rPr>
        <w:t>Evaluación del aprendizaje con inteligencia artificial</w:t>
      </w:r>
      <w:bookmarkEnd w:id="46"/>
    </w:p>
    <w:p w14:paraId="5B5B8D67" w14:textId="77777777" w:rsidR="00FD016B" w:rsidRDefault="00FD016B">
      <w:pPr>
        <w:spacing w:before="0" w:after="160" w:line="278" w:lineRule="auto"/>
        <w:jc w:val="left"/>
        <w:rPr>
          <w:rFonts w:eastAsiaTheme="majorEastAsia" w:cs="Tahoma"/>
          <w:b/>
          <w:bCs/>
          <w:color w:val="262626"/>
          <w:sz w:val="28"/>
          <w:szCs w:val="40"/>
          <w:lang w:val="es-MX"/>
        </w:rPr>
      </w:pPr>
      <w:r>
        <w:rPr>
          <w:bCs/>
        </w:rPr>
        <w:br w:type="page"/>
      </w:r>
    </w:p>
    <w:p w14:paraId="78D76D8A" w14:textId="77777777" w:rsidR="00B275D9" w:rsidRPr="00C92D87" w:rsidRDefault="00B275D9" w:rsidP="00B275D9">
      <w:pPr>
        <w:jc w:val="center"/>
        <w:rPr>
          <w:b/>
          <w:bCs/>
          <w:color w:val="000000"/>
          <w:sz w:val="28"/>
          <w:szCs w:val="28"/>
          <w:lang w:val="es-MX" w:eastAsia="es-MX"/>
        </w:rPr>
      </w:pPr>
      <w:r w:rsidRPr="00C92D87">
        <w:rPr>
          <w:b/>
          <w:bCs/>
          <w:sz w:val="28"/>
          <w:szCs w:val="28"/>
          <w:lang w:val="es-MX" w:eastAsia="es-MX"/>
        </w:rPr>
        <w:lastRenderedPageBreak/>
        <w:t>Introducción</w:t>
      </w:r>
    </w:p>
    <w:p w14:paraId="7B924C34" w14:textId="77777777" w:rsidR="00B275D9" w:rsidRPr="00C92D87" w:rsidRDefault="00B275D9" w:rsidP="00B275D9">
      <w:pPr>
        <w:rPr>
          <w:color w:val="000000"/>
          <w:lang w:val="es-MX" w:eastAsia="es-MX"/>
        </w:rPr>
      </w:pPr>
      <w:r w:rsidRPr="00C92D87">
        <w:rPr>
          <w:color w:val="000000"/>
          <w:lang w:val="es-MX" w:eastAsia="es-MX"/>
        </w:rPr>
        <w:t xml:space="preserve">El capítulo anterior sostuvo que aprender con inteligencia artificial exige autorregulación, pensamiento crítico, competencia digital y alfabetización algorítmica. Estas capacidades deben observarse mediante evaluación, porque los productos obtenidos con asistencia tecnológica no revelan por sí solos qué comprendió el estudiante. Un ensayo fluido puede contener poco razonamiento propio y una solución incompleta puede mostrar decisiones valiosas. La evaluación universitaria enfrenta así una doble responsabilidad. Debe aprovechar sistemas capaces de generar preguntas, analizar respuestas y ofrecer retroalimentación, y al mismo tiempo preservar la validez de las inferencias sobre el aprendizaje. El problema principal no es determinar si una herramienta produce una calificación parecida a la humana, sino establecer qué evidencia se necesita, qué interpretación se hará y qué consecuencias tendrá esa interpretación (American </w:t>
      </w:r>
      <w:proofErr w:type="spellStart"/>
      <w:r w:rsidRPr="00C92D87">
        <w:rPr>
          <w:color w:val="000000"/>
          <w:lang w:val="es-MX" w:eastAsia="es-MX"/>
        </w:rPr>
        <w:t>Educational</w:t>
      </w:r>
      <w:proofErr w:type="spellEnd"/>
      <w:r w:rsidRPr="00C92D87">
        <w:rPr>
          <w:color w:val="000000"/>
          <w:lang w:val="es-MX" w:eastAsia="es-MX"/>
        </w:rPr>
        <w:t xml:space="preserve"> </w:t>
      </w:r>
      <w:proofErr w:type="spellStart"/>
      <w:r w:rsidRPr="00C92D87">
        <w:rPr>
          <w:color w:val="000000"/>
          <w:lang w:val="es-MX" w:eastAsia="es-MX"/>
        </w:rPr>
        <w:t>Research</w:t>
      </w:r>
      <w:proofErr w:type="spellEnd"/>
      <w:r w:rsidRPr="00C92D87">
        <w:rPr>
          <w:color w:val="000000"/>
          <w:lang w:val="es-MX" w:eastAsia="es-MX"/>
        </w:rPr>
        <w:t xml:space="preserve"> </w:t>
      </w:r>
      <w:proofErr w:type="spellStart"/>
      <w:r w:rsidRPr="00C92D87">
        <w:rPr>
          <w:color w:val="000000"/>
          <w:lang w:val="es-MX" w:eastAsia="es-MX"/>
        </w:rPr>
        <w:t>Association</w:t>
      </w:r>
      <w:proofErr w:type="spellEnd"/>
      <w:r w:rsidRPr="00C92D87">
        <w:rPr>
          <w:color w:val="000000"/>
          <w:lang w:val="es-MX" w:eastAsia="es-MX"/>
        </w:rPr>
        <w:t xml:space="preserve"> [AERA] et al., 2014; Miao &amp; Holmes, 2023).</w:t>
      </w:r>
    </w:p>
    <w:p w14:paraId="36825782" w14:textId="77777777" w:rsidR="00B275D9" w:rsidRPr="00C92D87" w:rsidRDefault="00B275D9" w:rsidP="00B275D9">
      <w:pPr>
        <w:rPr>
          <w:color w:val="000000"/>
          <w:lang w:val="es-MX" w:eastAsia="es-MX"/>
        </w:rPr>
      </w:pPr>
      <w:r w:rsidRPr="00C92D87">
        <w:rPr>
          <w:color w:val="000000"/>
          <w:lang w:val="es-MX" w:eastAsia="es-MX"/>
        </w:rPr>
        <w:t>Evaluar significa reunir e interpretar evidencia para tomar decisiones. La decisión puede ser ayudar a mejorar, certificar un logro, adaptar la enseñanza, acreditar una competencia o revisar un programa. Cada propósito exige evidencias y niveles de rigor diferentes. Una actividad de práctica admite retroalimentación automática con supervisión ligera, mientras que una decisión de graduación requiere controles, trazabilidad y revisión humana reforzada. La inteligencia artificial no convierte estas decisiones en operaciones neutrales. Los modelos incorporan datos, categorías, criterios y umbrales, y pueden amplificar sesgos o producir explicaciones convincentes sin fundamento. Por ello, la evaluación debe concebirse como un sistema sociotécnico en el que participan estudiantes, docentes, normas, instrumentos, plataformas y condiciones institucionales (</w:t>
      </w:r>
      <w:proofErr w:type="spellStart"/>
      <w:r w:rsidRPr="00C92D87">
        <w:rPr>
          <w:color w:val="000000"/>
          <w:lang w:val="es-MX" w:eastAsia="es-MX"/>
        </w:rPr>
        <w:t>European</w:t>
      </w:r>
      <w:proofErr w:type="spellEnd"/>
      <w:r w:rsidRPr="00C92D87">
        <w:rPr>
          <w:color w:val="000000"/>
          <w:lang w:val="es-MX" w:eastAsia="es-MX"/>
        </w:rPr>
        <w:t xml:space="preserve"> </w:t>
      </w:r>
      <w:proofErr w:type="spellStart"/>
      <w:r w:rsidRPr="00C92D87">
        <w:rPr>
          <w:color w:val="000000"/>
          <w:lang w:val="es-MX" w:eastAsia="es-MX"/>
        </w:rPr>
        <w:t>Commission</w:t>
      </w:r>
      <w:proofErr w:type="spellEnd"/>
      <w:r w:rsidRPr="00C92D87">
        <w:rPr>
          <w:color w:val="000000"/>
          <w:lang w:val="es-MX" w:eastAsia="es-MX"/>
        </w:rPr>
        <w:t>, 2022; UNESCO, 2021).</w:t>
      </w:r>
    </w:p>
    <w:p w14:paraId="4163F05E" w14:textId="77777777" w:rsidR="00B275D9" w:rsidRPr="00C92D87" w:rsidRDefault="00B275D9" w:rsidP="00B275D9">
      <w:pPr>
        <w:rPr>
          <w:color w:val="000000"/>
          <w:lang w:val="es-MX" w:eastAsia="es-MX"/>
        </w:rPr>
      </w:pPr>
      <w:r w:rsidRPr="00C92D87">
        <w:rPr>
          <w:color w:val="000000"/>
          <w:lang w:val="es-MX" w:eastAsia="es-MX"/>
        </w:rPr>
        <w:t>Este capítulo se organiza en cuatro apartados. El primero examina la evaluación formativa y la automatizada, sus propósitos, oportunidades y límites. El segundo aborda la retroalimentación inteligente y las condiciones que permiten convertir información en acción. El tercero desarrolla el diseño de instrumentos y rúbricas, con atención a alineación, autenticidad, diversidad de evidencias y transparencia del uso de inteligencia artificial. El cuarto analiza validez, confiabilidad, equidad, sesgos y supervisión humana. La síntesis final prepara el estudio de la investigación y la producción científica, porque muchas prácticas evaluativas, como verificar fuentes, documentar procesos y justificar decisiones, también sostienen la integridad de la indagación académica (Black &amp; Wiliam, 2009; OECD, 2026).</w:t>
      </w:r>
    </w:p>
    <w:p w14:paraId="5D5D801C" w14:textId="5B225121" w:rsidR="00A337EC" w:rsidRDefault="00A337EC">
      <w:pPr>
        <w:spacing w:before="0" w:after="160" w:line="278" w:lineRule="auto"/>
        <w:jc w:val="left"/>
        <w:rPr>
          <w:lang w:val="es-MX"/>
        </w:rPr>
      </w:pPr>
      <w:r>
        <w:rPr>
          <w:lang w:val="es-MX"/>
        </w:rPr>
        <w:br w:type="page"/>
      </w:r>
    </w:p>
    <w:p w14:paraId="1A553D2D" w14:textId="7E71C3A1" w:rsidR="00C75B3F" w:rsidRPr="00C75B3F" w:rsidRDefault="00C75B3F" w:rsidP="00F3437D">
      <w:pPr>
        <w:pStyle w:val="Ttulo2"/>
        <w:rPr>
          <w:lang w:val="es-MX"/>
        </w:rPr>
      </w:pPr>
      <w:bookmarkStart w:id="47" w:name="_Toc239440904"/>
      <w:r w:rsidRPr="00C75B3F">
        <w:rPr>
          <w:lang w:val="es-MX"/>
        </w:rPr>
        <w:lastRenderedPageBreak/>
        <w:t>Evaluación formativa y automatizada</w:t>
      </w:r>
      <w:bookmarkEnd w:id="47"/>
    </w:p>
    <w:p w14:paraId="5318B499" w14:textId="2DAA1312" w:rsidR="00C75B3F" w:rsidRPr="00C75B3F" w:rsidRDefault="00C75B3F" w:rsidP="00F3437D">
      <w:pPr>
        <w:pStyle w:val="Ttulo3"/>
        <w:rPr>
          <w:lang w:val="es-MX"/>
        </w:rPr>
      </w:pPr>
      <w:bookmarkStart w:id="48" w:name="_Toc239440905"/>
      <w:r w:rsidRPr="00C75B3F">
        <w:rPr>
          <w:lang w:val="es-MX"/>
        </w:rPr>
        <w:t>Propósitos, modalidades y alineación de la evaluación</w:t>
      </w:r>
      <w:bookmarkEnd w:id="48"/>
    </w:p>
    <w:p w14:paraId="75D535D5" w14:textId="77777777" w:rsidR="00C75B3F" w:rsidRPr="00C75B3F" w:rsidRDefault="00C75B3F" w:rsidP="00C75B3F">
      <w:pPr>
        <w:rPr>
          <w:lang w:val="es-MX"/>
        </w:rPr>
      </w:pPr>
      <w:r w:rsidRPr="00C75B3F">
        <w:rPr>
          <w:lang w:val="es-MX"/>
        </w:rPr>
        <w:t>La evaluación formativa utiliza evidencia durante el aprendizaje para decidir los próximos pasos. No se define por la ausencia de nota ni por el uso de una herramienta particular. Una prueba breve es formativa si sus resultados ayudan al estudiante y al docente a actuar, mientras que un comentario extenso deja de serlo cuando llega demasiado tarde o no orienta cambios. El ciclo incluye clarificar metas y criterios, obtener evidencia, interpretarla, comunicarla y realizar una nueva acción. La inteligencia artificial puede acelerar varias fases, pero no garantiza que el ciclo se cierre. Un tablero, una predicción o un texto generado solo adquieren valor cuando se relacionan con un propósito y producen oportunidades reales de mejora (Black &amp; Wiliam, 2009; Wiliam, 2011).</w:t>
      </w:r>
    </w:p>
    <w:p w14:paraId="0F7F2DEF" w14:textId="77777777" w:rsidR="00C75B3F" w:rsidRPr="00C75B3F" w:rsidRDefault="00C75B3F" w:rsidP="00C75B3F">
      <w:pPr>
        <w:rPr>
          <w:lang w:val="es-MX"/>
        </w:rPr>
      </w:pPr>
      <w:r w:rsidRPr="00C75B3F">
        <w:rPr>
          <w:lang w:val="es-MX"/>
        </w:rPr>
        <w:t>La evaluación sumativa certifica el nivel alcanzado al final de una unidad, curso o programa. Formativa y sumativa no son instrumentos opuestos, sino usos de la evidencia. Una tarea final puede producir información para el siguiente curso y una actividad de práctica puede contribuir a una decisión acumulativa. La diferencia importa porque el riesgo aceptable cambia con las consecuencias. En ejercicios de bajo impacto, un sistema puede clasificar respuestas y ofrecer pistas que el estudiante revisa. En exámenes de alto impacto, errores pequeños afectan trayectorias, por lo que se necesitan procedimientos de validación, seguridad, apelación y revisión. Automatizar sin distinguir propósito conduce a aplicar la misma confianza a situaciones distintas. La universidad debe declarar qué decisiones se tomarán y qué peso tendrá la salida del sistema (AERA et al., 2014; UNESCO, 2021).</w:t>
      </w:r>
    </w:p>
    <w:p w14:paraId="1D11DF8D" w14:textId="77777777" w:rsidR="00C75B3F" w:rsidRPr="00C75B3F" w:rsidRDefault="00C75B3F" w:rsidP="00C75B3F">
      <w:pPr>
        <w:rPr>
          <w:lang w:val="es-MX"/>
        </w:rPr>
      </w:pPr>
      <w:r w:rsidRPr="00C75B3F">
        <w:rPr>
          <w:lang w:val="es-MX"/>
        </w:rPr>
        <w:t>La alineación constructiva vincula resultados de aprendizaje, actividades y evaluación. Si el resultado exige argumentar, el instrumento debe solicitar razones, evidencia y respuesta a objeciones. Si exige desempeño profesional, una pregunta de recuerdo resulta insuficiente. La inteligencia artificial puede generar ítems con rapidez, pero tiende a reproducir patrones generales y puede reducir el nivel cognitivo. Antes de automatizar, el docente identifica el constructo que desea observar, las condiciones de desempeño y los criterios. Después decide qué parte puede apoyar la tecnología. Esta secuencia evita que la disponibilidad de una función determine lo que se evalúa. También permite revisar resultados que han perdido vigencia debido a la asistencia generativa, elevando la exigencia hacia verificación, transferencia, juicio y autoría responsable (Biggs &amp; Tang, 2011; Miao &amp; Holmes, 2023).</w:t>
      </w:r>
    </w:p>
    <w:p w14:paraId="51B9E0C4" w14:textId="5DE51281" w:rsidR="00C75B3F" w:rsidRPr="00C75B3F" w:rsidRDefault="00C75B3F" w:rsidP="00F3437D">
      <w:pPr>
        <w:pStyle w:val="Ttulo3"/>
        <w:rPr>
          <w:lang w:val="es-MX"/>
        </w:rPr>
      </w:pPr>
      <w:bookmarkStart w:id="49" w:name="_Toc239440906"/>
      <w:r w:rsidRPr="00C75B3F">
        <w:rPr>
          <w:lang w:val="es-MX"/>
        </w:rPr>
        <w:t>Diagnóstico, ítems seleccionados y respuestas construidas</w:t>
      </w:r>
      <w:bookmarkEnd w:id="49"/>
    </w:p>
    <w:p w14:paraId="62F0900D" w14:textId="77777777" w:rsidR="00C75B3F" w:rsidRPr="00C75B3F" w:rsidRDefault="00C75B3F" w:rsidP="00C75B3F">
      <w:pPr>
        <w:rPr>
          <w:lang w:val="es-MX"/>
        </w:rPr>
      </w:pPr>
      <w:r w:rsidRPr="00C75B3F">
        <w:rPr>
          <w:lang w:val="es-MX"/>
        </w:rPr>
        <w:t xml:space="preserve">La evaluación diagnóstica identifica conocimientos previos, concepciones, estrategias y necesidades. Un sistema adaptativo puede seleccionar preguntas según respuestas y ofrecer un mapa inicial. Sin embargo, una respuesta errónea admite explicaciones diferentes, </w:t>
      </w:r>
      <w:r w:rsidRPr="00C75B3F">
        <w:rPr>
          <w:lang w:val="es-MX"/>
        </w:rPr>
        <w:lastRenderedPageBreak/>
        <w:t>desconocimiento, lectura apresurada, barrera lingüística o problema de accesibilidad. El diagnóstico automático debe considerarse una hipótesis. El docente combina resultados con conversación, tareas abiertas y antecedentes pertinentes. El estudiante necesita conocer el propósito y evitar que una etiqueta inicial limite oportunidades. Una prueba diagnóstica no debe convertirse silenciosamente en calificación ni utilizarse para decisiones no anunciadas. Cuando los datos son sensibles, se aplican minimización, acceso restringido y plazos de eliminación. El valor del diagnóstico reside en adaptar apoyos y no en fijar identidades (Slade &amp; Prinsloo, 2013; UNESCO, 2021).</w:t>
      </w:r>
    </w:p>
    <w:p w14:paraId="41D31C30" w14:textId="77777777" w:rsidR="00C75B3F" w:rsidRPr="00C75B3F" w:rsidRDefault="00C75B3F" w:rsidP="00C75B3F">
      <w:pPr>
        <w:rPr>
          <w:lang w:val="es-MX"/>
        </w:rPr>
      </w:pPr>
      <w:r w:rsidRPr="00C75B3F">
        <w:rPr>
          <w:lang w:val="es-MX"/>
        </w:rPr>
        <w:t>Las pruebas de respuesta seleccionada son fáciles de automatizar y permiten cobertura amplia. La inteligencia artificial puede proponer enunciados, opciones y explicaciones, pero cada elemento requiere revisión. Un buen ítem presenta un problema claro, una respuesta defendible y distractores que reflejan errores plausibles. La generación automática puede introducir pistas gramaticales, ambigüedades, datos falsos o sesgos culturales. También puede producir opciones absurdas que inflan la puntuación. El docente construye una tabla de especificaciones, revisa contenido y nivel cognitivo, realiza un piloto y analiza dificultad y discriminación. Los ítems con efectos relevantes requieren bancos seguros y control de versiones. La eficiencia de generación no sustituye la calidad del diseño ni la evidencia empírica sobre funcionamiento (AERA et al., 2014; Downing, 2006).</w:t>
      </w:r>
    </w:p>
    <w:p w14:paraId="5AED32A1" w14:textId="77777777" w:rsidR="00C75B3F" w:rsidRPr="00C75B3F" w:rsidRDefault="00C75B3F" w:rsidP="00C75B3F">
      <w:pPr>
        <w:rPr>
          <w:lang w:val="es-MX"/>
        </w:rPr>
      </w:pPr>
      <w:r w:rsidRPr="00C75B3F">
        <w:rPr>
          <w:lang w:val="es-MX"/>
        </w:rPr>
        <w:t>Las respuestas construidas ofrecen evidencia sobre explicación, razonamiento y comunicación. Los sistemas de procesamiento del lenguaje pueden clasificar textos o estimar puntuaciones, aunque suelen capturar rasgos correlacionados con el juicio humano, como longitud, vocabulario o estructura. Esa correlación no demuestra que comprendan el argumento. Un texto con palabras clave puede recibir una puntuación alta y una respuesta creativa puede alejarse de patrones de entrenamiento. La automatización es más prudente cuando identifica características, agrupa ejemplos o sugiere comentarios que el docente revisa. Para decisiones importantes se combinan varios evaluadores, muestras y tareas. El estudiante debe saber si una máquina participa y disponer de una vía para impugnar. La puntuación automática no debe presentarse como lectura objetiva (Williamson et al., 2012; UNESCO, 2021).</w:t>
      </w:r>
    </w:p>
    <w:p w14:paraId="58BC387B" w14:textId="7FD91A01" w:rsidR="00C75B3F" w:rsidRPr="00C75B3F" w:rsidRDefault="00C75B3F" w:rsidP="00C75B3F">
      <w:pPr>
        <w:rPr>
          <w:lang w:val="es-MX"/>
        </w:rPr>
      </w:pPr>
      <w:r w:rsidRPr="00C75B3F">
        <w:rPr>
          <w:b/>
          <w:bCs/>
          <w:lang w:val="es-MX"/>
        </w:rPr>
        <w:t xml:space="preserve">Tabla </w:t>
      </w:r>
      <w:r w:rsidR="00FA6F60">
        <w:rPr>
          <w:b/>
          <w:bCs/>
          <w:lang w:val="es-MX"/>
        </w:rPr>
        <w:t>3</w:t>
      </w:r>
      <w:r w:rsidRPr="00C75B3F">
        <w:rPr>
          <w:b/>
          <w:bCs/>
          <w:lang w:val="es-MX"/>
        </w:rPr>
        <w:t>.1. Modalidades de evaluación y automatización responsable</w:t>
      </w:r>
    </w:p>
    <w:tbl>
      <w:tblPr>
        <w:tblStyle w:val="Tablanormal2"/>
        <w:tblW w:w="8392" w:type="dxa"/>
        <w:tblLook w:val="04A0" w:firstRow="1" w:lastRow="0" w:firstColumn="1" w:lastColumn="0" w:noHBand="0" w:noVBand="1"/>
      </w:tblPr>
      <w:tblGrid>
        <w:gridCol w:w="2098"/>
        <w:gridCol w:w="2098"/>
        <w:gridCol w:w="2098"/>
        <w:gridCol w:w="2098"/>
      </w:tblGrid>
      <w:tr w:rsidR="00C75B3F" w:rsidRPr="00C75B3F" w14:paraId="46C3949A" w14:textId="77777777" w:rsidTr="00061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7CFB966" w14:textId="77777777" w:rsidR="00C75B3F" w:rsidRPr="00F3437D" w:rsidRDefault="00C75B3F" w:rsidP="00F3437D">
            <w:pPr>
              <w:spacing w:before="0" w:after="0" w:line="240" w:lineRule="auto"/>
              <w:jc w:val="center"/>
              <w:rPr>
                <w:sz w:val="20"/>
                <w:szCs w:val="20"/>
                <w:lang w:val="es-MX"/>
              </w:rPr>
            </w:pPr>
            <w:r w:rsidRPr="00F3437D">
              <w:rPr>
                <w:sz w:val="20"/>
                <w:szCs w:val="20"/>
                <w:lang w:val="es-MX"/>
              </w:rPr>
              <w:t>Modalidad</w:t>
            </w:r>
          </w:p>
        </w:tc>
        <w:tc>
          <w:tcPr>
            <w:tcW w:w="2098" w:type="dxa"/>
            <w:vAlign w:val="center"/>
            <w:hideMark/>
          </w:tcPr>
          <w:p w14:paraId="07085B6B" w14:textId="77777777" w:rsidR="00C75B3F" w:rsidRPr="00F3437D" w:rsidRDefault="00C75B3F" w:rsidP="00F3437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Evidencia</w:t>
            </w:r>
          </w:p>
        </w:tc>
        <w:tc>
          <w:tcPr>
            <w:tcW w:w="2098" w:type="dxa"/>
            <w:vAlign w:val="center"/>
            <w:hideMark/>
          </w:tcPr>
          <w:p w14:paraId="66A7D7C8" w14:textId="77777777" w:rsidR="00C75B3F" w:rsidRPr="00F3437D" w:rsidRDefault="00C75B3F" w:rsidP="00F3437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Aporte de la IA</w:t>
            </w:r>
          </w:p>
        </w:tc>
        <w:tc>
          <w:tcPr>
            <w:tcW w:w="2098" w:type="dxa"/>
            <w:vAlign w:val="center"/>
            <w:hideMark/>
          </w:tcPr>
          <w:p w14:paraId="500E1189" w14:textId="77777777" w:rsidR="00C75B3F" w:rsidRPr="00F3437D" w:rsidRDefault="00C75B3F" w:rsidP="00F3437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Cautela</w:t>
            </w:r>
          </w:p>
        </w:tc>
      </w:tr>
      <w:tr w:rsidR="00C75B3F" w:rsidRPr="00C75B3F" w14:paraId="271E73F2"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828BDFF" w14:textId="77777777" w:rsidR="00C75B3F" w:rsidRPr="00F3437D" w:rsidRDefault="00C75B3F" w:rsidP="00F3437D">
            <w:pPr>
              <w:spacing w:before="0" w:after="0" w:line="240" w:lineRule="auto"/>
              <w:rPr>
                <w:sz w:val="20"/>
                <w:szCs w:val="20"/>
                <w:lang w:val="es-MX"/>
              </w:rPr>
            </w:pPr>
            <w:r w:rsidRPr="00F3437D">
              <w:rPr>
                <w:sz w:val="20"/>
                <w:szCs w:val="20"/>
                <w:lang w:val="es-MX"/>
              </w:rPr>
              <w:t>Diagnóstica</w:t>
            </w:r>
          </w:p>
        </w:tc>
        <w:tc>
          <w:tcPr>
            <w:tcW w:w="2098" w:type="dxa"/>
            <w:vAlign w:val="center"/>
            <w:hideMark/>
          </w:tcPr>
          <w:p w14:paraId="2E0DC89D"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Conocimientos y estrategias previas</w:t>
            </w:r>
          </w:p>
        </w:tc>
        <w:tc>
          <w:tcPr>
            <w:tcW w:w="2098" w:type="dxa"/>
            <w:vAlign w:val="center"/>
            <w:hideMark/>
          </w:tcPr>
          <w:p w14:paraId="61D5F4DE"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Selecciona preguntas o patrones</w:t>
            </w:r>
          </w:p>
        </w:tc>
        <w:tc>
          <w:tcPr>
            <w:tcW w:w="2098" w:type="dxa"/>
            <w:vAlign w:val="center"/>
            <w:hideMark/>
          </w:tcPr>
          <w:p w14:paraId="681FCD93"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No convertir resultados en etiquetas</w:t>
            </w:r>
          </w:p>
        </w:tc>
      </w:tr>
      <w:tr w:rsidR="00C75B3F" w:rsidRPr="00C75B3F" w14:paraId="73E2AD4F"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652C1D6" w14:textId="77777777" w:rsidR="00C75B3F" w:rsidRPr="00F3437D" w:rsidRDefault="00C75B3F" w:rsidP="00F3437D">
            <w:pPr>
              <w:spacing w:before="0" w:after="0" w:line="240" w:lineRule="auto"/>
              <w:rPr>
                <w:sz w:val="20"/>
                <w:szCs w:val="20"/>
                <w:lang w:val="es-MX"/>
              </w:rPr>
            </w:pPr>
            <w:r w:rsidRPr="00F3437D">
              <w:rPr>
                <w:sz w:val="20"/>
                <w:szCs w:val="20"/>
                <w:lang w:val="es-MX"/>
              </w:rPr>
              <w:t>Formativa</w:t>
            </w:r>
          </w:p>
        </w:tc>
        <w:tc>
          <w:tcPr>
            <w:tcW w:w="2098" w:type="dxa"/>
            <w:vAlign w:val="center"/>
            <w:hideMark/>
          </w:tcPr>
          <w:p w14:paraId="3FE30E0D"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Avances y dificultades durante el proceso</w:t>
            </w:r>
          </w:p>
        </w:tc>
        <w:tc>
          <w:tcPr>
            <w:tcW w:w="2098" w:type="dxa"/>
            <w:vAlign w:val="center"/>
            <w:hideMark/>
          </w:tcPr>
          <w:p w14:paraId="049EE45D"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Amplía práctica y respuesta oportuna</w:t>
            </w:r>
          </w:p>
        </w:tc>
        <w:tc>
          <w:tcPr>
            <w:tcW w:w="2098" w:type="dxa"/>
            <w:vAlign w:val="center"/>
            <w:hideMark/>
          </w:tcPr>
          <w:p w14:paraId="5EAB7CE1"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Mantener decisiones pedagógicas</w:t>
            </w:r>
          </w:p>
        </w:tc>
      </w:tr>
      <w:tr w:rsidR="00C75B3F" w:rsidRPr="00C75B3F" w14:paraId="245B6960"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A1FAD47" w14:textId="77777777" w:rsidR="00C75B3F" w:rsidRPr="00F3437D" w:rsidRDefault="00C75B3F" w:rsidP="00F3437D">
            <w:pPr>
              <w:spacing w:before="0" w:after="0" w:line="240" w:lineRule="auto"/>
              <w:rPr>
                <w:sz w:val="20"/>
                <w:szCs w:val="20"/>
                <w:lang w:val="es-MX"/>
              </w:rPr>
            </w:pPr>
            <w:r w:rsidRPr="00F3437D">
              <w:rPr>
                <w:sz w:val="20"/>
                <w:szCs w:val="20"/>
                <w:lang w:val="es-MX"/>
              </w:rPr>
              <w:t>Sumativa</w:t>
            </w:r>
          </w:p>
        </w:tc>
        <w:tc>
          <w:tcPr>
            <w:tcW w:w="2098" w:type="dxa"/>
            <w:vAlign w:val="center"/>
            <w:hideMark/>
          </w:tcPr>
          <w:p w14:paraId="0C47671F"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Nivel de logro al cierre</w:t>
            </w:r>
          </w:p>
        </w:tc>
        <w:tc>
          <w:tcPr>
            <w:tcW w:w="2098" w:type="dxa"/>
            <w:vAlign w:val="center"/>
            <w:hideMark/>
          </w:tcPr>
          <w:p w14:paraId="2A4BBA13"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Apoya aspectos delimitados</w:t>
            </w:r>
          </w:p>
        </w:tc>
        <w:tc>
          <w:tcPr>
            <w:tcW w:w="2098" w:type="dxa"/>
            <w:vAlign w:val="center"/>
            <w:hideMark/>
          </w:tcPr>
          <w:p w14:paraId="362E2C04" w14:textId="77777777" w:rsidR="00C75B3F" w:rsidRPr="00F3437D" w:rsidRDefault="00C75B3F" w:rsidP="00F3437D">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3437D">
              <w:rPr>
                <w:sz w:val="20"/>
                <w:szCs w:val="20"/>
                <w:lang w:val="es-MX"/>
              </w:rPr>
              <w:t>Exigir validez y supervisión reforzada</w:t>
            </w:r>
          </w:p>
        </w:tc>
      </w:tr>
      <w:tr w:rsidR="00C75B3F" w:rsidRPr="00C75B3F" w14:paraId="04286BD5"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1E64C22" w14:textId="77777777" w:rsidR="00C75B3F" w:rsidRPr="00F3437D" w:rsidRDefault="00C75B3F" w:rsidP="00F3437D">
            <w:pPr>
              <w:spacing w:before="0" w:after="0" w:line="240" w:lineRule="auto"/>
              <w:rPr>
                <w:sz w:val="20"/>
                <w:szCs w:val="20"/>
                <w:lang w:val="es-MX"/>
              </w:rPr>
            </w:pPr>
            <w:r w:rsidRPr="00F3437D">
              <w:rPr>
                <w:sz w:val="20"/>
                <w:szCs w:val="20"/>
                <w:lang w:val="es-MX"/>
              </w:rPr>
              <w:t>Auténtica</w:t>
            </w:r>
          </w:p>
        </w:tc>
        <w:tc>
          <w:tcPr>
            <w:tcW w:w="2098" w:type="dxa"/>
            <w:vAlign w:val="center"/>
            <w:hideMark/>
          </w:tcPr>
          <w:p w14:paraId="5B03A066"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Aplicación en situaciones significativas</w:t>
            </w:r>
          </w:p>
        </w:tc>
        <w:tc>
          <w:tcPr>
            <w:tcW w:w="2098" w:type="dxa"/>
            <w:vAlign w:val="center"/>
            <w:hideMark/>
          </w:tcPr>
          <w:p w14:paraId="352D400C"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Genera escenarios o simulaciones</w:t>
            </w:r>
          </w:p>
        </w:tc>
        <w:tc>
          <w:tcPr>
            <w:tcW w:w="2098" w:type="dxa"/>
            <w:vAlign w:val="center"/>
            <w:hideMark/>
          </w:tcPr>
          <w:p w14:paraId="23FEE1C8" w14:textId="77777777" w:rsidR="00C75B3F" w:rsidRPr="00F3437D" w:rsidRDefault="00C75B3F" w:rsidP="00F3437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3437D">
              <w:rPr>
                <w:sz w:val="20"/>
                <w:szCs w:val="20"/>
                <w:lang w:val="es-MX"/>
              </w:rPr>
              <w:t>Validar realismo y accesibilidad</w:t>
            </w:r>
          </w:p>
        </w:tc>
      </w:tr>
    </w:tbl>
    <w:p w14:paraId="1DBD8A5F" w14:textId="77777777" w:rsidR="00C75B3F" w:rsidRPr="00C75B3F" w:rsidRDefault="00C75B3F" w:rsidP="00C75B3F">
      <w:pPr>
        <w:rPr>
          <w:lang w:val="es-MX"/>
        </w:rPr>
      </w:pPr>
      <w:r w:rsidRPr="00C75B3F">
        <w:rPr>
          <w:i/>
          <w:iCs/>
          <w:lang w:val="es-MX"/>
        </w:rPr>
        <w:lastRenderedPageBreak/>
        <w:t>Fuente: elaboración propia a partir de las referencias citadas en el apartado.</w:t>
      </w:r>
    </w:p>
    <w:p w14:paraId="0B7216A3" w14:textId="032F7CFF" w:rsidR="00C75B3F" w:rsidRPr="00C75B3F" w:rsidRDefault="00C75B3F" w:rsidP="00F3437D">
      <w:pPr>
        <w:pStyle w:val="Ttulo3"/>
        <w:rPr>
          <w:lang w:val="es-MX"/>
        </w:rPr>
      </w:pPr>
      <w:bookmarkStart w:id="50" w:name="_Toc239440907"/>
      <w:r w:rsidRPr="00C75B3F">
        <w:rPr>
          <w:lang w:val="es-MX"/>
        </w:rPr>
        <w:t>Evidencia automatizada, simulaciones y portafolios</w:t>
      </w:r>
      <w:bookmarkEnd w:id="50"/>
    </w:p>
    <w:p w14:paraId="32DB2091" w14:textId="77777777" w:rsidR="00C75B3F" w:rsidRPr="00C75B3F" w:rsidRDefault="00C75B3F" w:rsidP="00C75B3F">
      <w:pPr>
        <w:rPr>
          <w:lang w:val="es-MX"/>
        </w:rPr>
      </w:pPr>
      <w:r w:rsidRPr="00C75B3F">
        <w:rPr>
          <w:lang w:val="es-MX"/>
        </w:rPr>
        <w:t>La evaluación del código, los cálculos y las respuestas breves permite comprobaciones automáticas reproducibles. Un sistema puede ejecutar pruebas, comparar unidades o detectar errores frecuentes. Aun así, una salida correcta no garantiza comprensión. El estudiante podría adaptar código generado sin poder explicarlo, o acertar mediante un procedimiento inválido. Conviene solicitar comentarios, pruebas propias, explicación oral y análisis de casos límites. Los evaluadores automáticos deben funcionar en entornos aislados y proteger seguridad. También necesitan reconocer soluciones equivalentes y tolerar formatos legítimos. La retroalimentación puede señalar el tipo de fallo sin revelar la solución completa. El objetivo es apoyar iteración y razonamiento, no promover intentos aleatorios hasta obtener una marca verde (Miao &amp; Holmes, 2023; OECD, 2026).</w:t>
      </w:r>
    </w:p>
    <w:p w14:paraId="1B7D1ABE" w14:textId="77777777" w:rsidR="00C75B3F" w:rsidRPr="00C75B3F" w:rsidRDefault="00C75B3F" w:rsidP="00C75B3F">
      <w:pPr>
        <w:rPr>
          <w:lang w:val="es-MX"/>
        </w:rPr>
      </w:pPr>
      <w:r w:rsidRPr="00C75B3F">
        <w:rPr>
          <w:lang w:val="es-MX"/>
        </w:rPr>
        <w:t xml:space="preserve">Las simulaciones y escenarios interactivos amplían la evaluación de competencias complejas. Un sistema puede representar un paciente, cliente o equipo y variar condiciones según decisiones. La evidencia incluye preguntas formuladas, acciones, secuencia, comunicación y revisión. La calidad depende de un modelo de tarea que establezca estados, límites y resultados esperados. Los modelos generativos pueden improvisar de manera inconsistente o introducir información no prevista. Por eso se necesitan guiones, fuentes controladas, registro y posibilidad de detener. La puntuación debe centrarse en criterios profesionales y no en ajustarse a una respuesta preferida por la plataforma. Un análisis posterior permite explicar decisiones y reconocer incertidumbres. La simulación complementa, pero no reemplaza, prácticas auténticas cuando están en juego relaciones, seguridad o responsabilidad profesional (Dawson, 2021;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w:t>
      </w:r>
    </w:p>
    <w:p w14:paraId="2977AA1D" w14:textId="77777777" w:rsidR="00C75B3F" w:rsidRPr="00C75B3F" w:rsidRDefault="00C75B3F" w:rsidP="00C75B3F">
      <w:pPr>
        <w:rPr>
          <w:lang w:val="es-MX"/>
        </w:rPr>
      </w:pPr>
      <w:r w:rsidRPr="00C75B3F">
        <w:rPr>
          <w:lang w:val="es-MX"/>
        </w:rPr>
        <w:t xml:space="preserve">El portafolio reúne productos y evidencia de evolución. En entornos con inteligencia artificial cobra importancia porque conserva borradores, decisiones, fuentes, retroalimentación y revisiones. No debe convertirse en acumulación indiscriminada. El estudiante selecciona muestras vinculadas con resultados, explica su significado y reflexiona sobre cambios. Puede incluir declaraciones de uso, comparaciones entre respuestas propias y asistidas, y tareas realizadas sin apoyo. La tecnología puede etiquetar, organizar o resumir, pero el estudiante mantiene control sobre la narrativa. Las rúbricas valoran calidad de la selección, reflexión, progreso y transferencia. La privacidad requiere separar materiales públicos de evidencias internas. Un portafolio bien diseñado muestra aprendizaje longitudinal y reduce la dependencia de un único producto final (Boud &amp; </w:t>
      </w:r>
      <w:proofErr w:type="spellStart"/>
      <w:r w:rsidRPr="00C75B3F">
        <w:rPr>
          <w:lang w:val="es-MX"/>
        </w:rPr>
        <w:t>Falchikov</w:t>
      </w:r>
      <w:proofErr w:type="spellEnd"/>
      <w:r w:rsidRPr="00C75B3F">
        <w:rPr>
          <w:lang w:val="es-MX"/>
        </w:rPr>
        <w:t>, 2007; Dawson, 2021).</w:t>
      </w:r>
    </w:p>
    <w:p w14:paraId="6EC5F220" w14:textId="56373A88" w:rsidR="00C75B3F" w:rsidRPr="00C75B3F" w:rsidRDefault="00C75B3F" w:rsidP="00F3437D">
      <w:pPr>
        <w:pStyle w:val="Ttulo3"/>
        <w:rPr>
          <w:lang w:val="es-MX"/>
        </w:rPr>
      </w:pPr>
      <w:bookmarkStart w:id="51" w:name="_Toc239440908"/>
      <w:r w:rsidRPr="00C75B3F">
        <w:rPr>
          <w:lang w:val="es-MX"/>
        </w:rPr>
        <w:lastRenderedPageBreak/>
        <w:t>Evaluación oral, entre pares, autoevaluación y analítica</w:t>
      </w:r>
      <w:bookmarkEnd w:id="51"/>
    </w:p>
    <w:p w14:paraId="3AE69C6D" w14:textId="77777777" w:rsidR="00C75B3F" w:rsidRPr="00C75B3F" w:rsidRDefault="00C75B3F" w:rsidP="00C75B3F">
      <w:pPr>
        <w:rPr>
          <w:lang w:val="es-MX"/>
        </w:rPr>
      </w:pPr>
      <w:r w:rsidRPr="00C75B3F">
        <w:rPr>
          <w:lang w:val="es-MX"/>
        </w:rPr>
        <w:t>La evaluación oral permite explorar comprensión, autoría y capacidad de responder a preguntas. No debe utilizarse como interrogatorio destinado a sorprender ni como mecanismo automático para sospechar fraude. Una defensa breve puede acompañar proyectos, informes o producciones con inteligencia artificial. El docente formula preguntas sobre decisiones centrales, fuentes, alternativas y límites. Para asegurar equidad, utiliza un protocolo, criterios comunes y ajustes de accesibilidad. Las sesiones pueden registrarse con consentimiento y protección adecuada. Un asistente puede generar preguntas preliminares, pero el docente selecciona y adapta. La oralidad también presenta sesgos relacionados con idioma, ansiedad y estilo comunicativo, por lo que debe combinarse con otras evidencias. Su valor principal es abrir una conversación académica sobre el razonamiento (Dawson, 2021; AERA et al., 2014).</w:t>
      </w:r>
    </w:p>
    <w:p w14:paraId="3C0BE388" w14:textId="77777777" w:rsidR="00C75B3F" w:rsidRPr="00C75B3F" w:rsidRDefault="00C75B3F" w:rsidP="00C75B3F">
      <w:pPr>
        <w:rPr>
          <w:lang w:val="es-MX"/>
        </w:rPr>
      </w:pPr>
      <w:r w:rsidRPr="00C75B3F">
        <w:rPr>
          <w:lang w:val="es-MX"/>
        </w:rPr>
        <w:t>La evaluación entre pares convierte los criterios en objeto de aprendizaje. Al comparar trabajos y justificar comentarios, los estudiantes desarrollan juicio evaluativo. La inteligencia artificial puede asignar pares, anonimizar, detectar ausencia de cobertura o sugerir preguntas. También puede generar comentarios que el estudiante evalúa antes de entregar. Las contribuciones automáticas no deben reemplazar el encuentro con respuestas reales de compañeros. El docente proporciona ejemplos, práctica de calibración y normas de respeto. Una sola valoración no debería determinar una nota importante. Se pueden agregar múltiples juicios y permitir respuesta del autor. La calidad de la revisión se evalúa mediante pertinencia, fundamento y utilidad. Esta modalidad fortalece responsabilidad compartida y prepara para valorar retroalimentación humana y automatizada (Nicol et al., 2014; Panadero et al., 2016).</w:t>
      </w:r>
    </w:p>
    <w:p w14:paraId="2F249B65" w14:textId="77777777" w:rsidR="00C75B3F" w:rsidRPr="00C75B3F" w:rsidRDefault="00C75B3F" w:rsidP="00C75B3F">
      <w:pPr>
        <w:rPr>
          <w:lang w:val="es-MX"/>
        </w:rPr>
      </w:pPr>
      <w:r w:rsidRPr="00C75B3F">
        <w:rPr>
          <w:lang w:val="es-MX"/>
        </w:rPr>
        <w:t>La autoevaluación exige comparar el propio trabajo con criterios y decidir cambios. Pedir una puntuación sin entrenamiento produce estimaciones poco confiables. Es preferible que el estudiante identifique evidencia, marque dudas y proponga una revisión. Un sistema puede formular preguntas o contrastar el texto con una rúbrica, pero su juicio debe ser examinado. La secuencia puede comenzar con evaluación propia, continuar con sugerencia automática y terminar con una decisión razonada sobre qué adoptar. La diferencia entre ambos análisis se convierte en evidencia metacognitiva. Con tareas repetidas, el estudiante mejora calibración. La autoevaluación no libera al docente de valorar, especialmente en decisiones sumativas. Su propósito es que los criterios se conviertan en herramientas internas para aprender (Andrade, 2019; Panadero et al., 2016).</w:t>
      </w:r>
    </w:p>
    <w:p w14:paraId="2A6A3401" w14:textId="77777777" w:rsidR="00C75B3F" w:rsidRPr="00C75B3F" w:rsidRDefault="00C75B3F" w:rsidP="00C75B3F">
      <w:pPr>
        <w:rPr>
          <w:lang w:val="es-MX"/>
        </w:rPr>
      </w:pPr>
      <w:r w:rsidRPr="00C75B3F">
        <w:rPr>
          <w:lang w:val="es-MX"/>
        </w:rPr>
        <w:t xml:space="preserve">La analítica del aprendizaje puede detectar patrones y activar apoyos. Por ejemplo, identifica conceptos con errores frecuentes o actividades donde muchas personas se detienen. La interpretación agregada ayuda a revisar enseñanza. A nivel individual, una alerta puede invitar a tutoría, pero no debe sancionar. Los registros representan interacciones dentro de un sistema y </w:t>
      </w:r>
      <w:r w:rsidRPr="00C75B3F">
        <w:rPr>
          <w:lang w:val="es-MX"/>
        </w:rPr>
        <w:lastRenderedPageBreak/>
        <w:t xml:space="preserve">omiten estudio fuera de línea, trabajo colaborativo y circunstancias personales. Un modelo predictivo de riesgo produce probabilidades, no certezas. La institución debe definir finalidad, calidad de datos, responsables, intervención y evaluación de efectos. Si no existe apoyo disponible, generar alertas puede aumentar vigilancia sin beneficiar al estudiante. La analítica formativa debe ampliar oportunidades y conservar derecho a explicación y corrección (Slade &amp; Prinsloo, 2013; </w:t>
      </w:r>
      <w:proofErr w:type="spellStart"/>
      <w:r w:rsidRPr="00C75B3F">
        <w:rPr>
          <w:lang w:val="es-MX"/>
        </w:rPr>
        <w:t>Ifenthaler</w:t>
      </w:r>
      <w:proofErr w:type="spellEnd"/>
      <w:r w:rsidRPr="00C75B3F">
        <w:rPr>
          <w:lang w:val="es-MX"/>
        </w:rPr>
        <w:t xml:space="preserve"> &amp; Yau, 2020).</w:t>
      </w:r>
    </w:p>
    <w:p w14:paraId="4759DAB0" w14:textId="5E6CC69D" w:rsidR="00C75B3F" w:rsidRPr="00C75B3F" w:rsidRDefault="00C75B3F" w:rsidP="00F3437D">
      <w:pPr>
        <w:pStyle w:val="Ttulo3"/>
        <w:rPr>
          <w:lang w:val="es-MX"/>
        </w:rPr>
      </w:pPr>
      <w:bookmarkStart w:id="52" w:name="_Toc239440909"/>
      <w:r w:rsidRPr="00C75B3F">
        <w:rPr>
          <w:lang w:val="es-MX"/>
        </w:rPr>
        <w:t>Evaluación continua, adaptativa y de bajo impacto</w:t>
      </w:r>
      <w:bookmarkEnd w:id="52"/>
    </w:p>
    <w:p w14:paraId="5D2760FC" w14:textId="77777777" w:rsidR="00C75B3F" w:rsidRPr="00C75B3F" w:rsidRDefault="00C75B3F" w:rsidP="00C75B3F">
      <w:pPr>
        <w:rPr>
          <w:lang w:val="es-MX"/>
        </w:rPr>
      </w:pPr>
      <w:r w:rsidRPr="00C75B3F">
        <w:rPr>
          <w:lang w:val="es-MX"/>
        </w:rPr>
        <w:t>La evaluación continua no significa recopilar datos de forma permanente. Un exceso de cuestionarios, registros y alertas aumenta carga y puede fragmentar el aprendizaje. La evidencia debe ser suficiente y proporcional. El docente selecciona momentos que permitan observar progreso sin convertir cada acción en puntuación. Las actividades de práctica pueden mantenerse privadas para favorecer ensayo. La inteligencia artificial facilita recolectar, pero la facilidad no justifica hacerlo. Antes de registrar se pregunta qué decisión se tomará, cuánto tiempo se conservará y quién necesita acceso. Reducir datos también disminuye riesgos de privacidad y falsas interpretaciones. Una arquitectura responsable distingue evidencia formativa, evidencia sumativa y datos operativos, y evita que se mezclen sin consentimiento ni justificación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 UNESCO, 2021).</w:t>
      </w:r>
    </w:p>
    <w:p w14:paraId="4AC09596" w14:textId="77777777" w:rsidR="00C75B3F" w:rsidRPr="00C75B3F" w:rsidRDefault="00C75B3F" w:rsidP="00C75B3F">
      <w:pPr>
        <w:rPr>
          <w:lang w:val="es-MX"/>
        </w:rPr>
      </w:pPr>
      <w:r w:rsidRPr="00C75B3F">
        <w:rPr>
          <w:lang w:val="es-MX"/>
        </w:rPr>
        <w:t>La calidad de la automatización debe evaluarse durante un ciclo completo. Se inicia con una necesidad, se define el constructo, se compara con alternativas y se realiza un piloto. Después se analizan exactitud, discrepancias, carga, equidad, accesibilidad y respuesta de usuarios. El desempeño del modelo puede cambiar por actualizaciones, por lo que se registra versión y condiciones. Los docentes revisan muestras aleatorias y casos difíciles. Los estudiantes aportan información sobre claridad y consecuencias. Si el sistema no mejora oportunidad, consistencia o aprendizaje, debe modificarse o retirarse. La innovación no se mide por porcentaje automatizado, sino por la calidad de las decisiones y la reducción de tareas que no requieren juicio profesional (Tabassi, 2023; OECD, 2026).</w:t>
      </w:r>
    </w:p>
    <w:p w14:paraId="593786DD" w14:textId="77777777" w:rsidR="00C75B3F" w:rsidRPr="00C75B3F" w:rsidRDefault="00C75B3F" w:rsidP="00C75B3F">
      <w:pPr>
        <w:rPr>
          <w:lang w:val="es-MX"/>
        </w:rPr>
      </w:pPr>
      <w:r w:rsidRPr="00C75B3F">
        <w:rPr>
          <w:lang w:val="es-MX"/>
        </w:rPr>
        <w:t>La evaluación adaptativa selecciona el siguiente ítem a partir de respuestas anteriores. Puede estimar el nivel con menos preguntas y ajustar dificultad, pero depende de un banco calibrado y de un modelo que relacione ítems con capacidad. La adaptación no debe ocultar qué dominio se evalúa ni producir experiencias incomparablemente distintas. Los estudiantes necesitan instrucciones y oportunidades de familiarización. También se revisan accesibilidad, exposición de contenido y funcionamiento por grupos. En cursos pequeños, la complejidad técnica puede no justificar beneficios. Una secuencia docente bien construida puede ofrecer flexibilidad suficiente. La decisión de adoptar evaluación adaptativa debe basarse en evidencia y no en la promesa de personalización (AERA et al., 2014; OECD, 2023).</w:t>
      </w:r>
    </w:p>
    <w:p w14:paraId="423DB14A" w14:textId="77777777" w:rsidR="00C75B3F" w:rsidRPr="00C75B3F" w:rsidRDefault="00C75B3F" w:rsidP="00C75B3F">
      <w:pPr>
        <w:rPr>
          <w:lang w:val="es-MX"/>
        </w:rPr>
      </w:pPr>
      <w:r w:rsidRPr="00C75B3F">
        <w:rPr>
          <w:lang w:val="es-MX"/>
        </w:rPr>
        <w:lastRenderedPageBreak/>
        <w:t>Las actividades de baja calificación reducen el costo del error y favorecen práctica distribuida. Cuestionarios breves, preguntas de recuperación y ejercicios con intentos múltiples pueden automatizarse siempre que exista un banco validado. La retroalimentación explica el razonamiento y dirige a recursos, sin limitarse a indicar correcto o incorrecto. El docente revisa estadísticas para mejorar ítems y no para clasificar estudiantes de forma permanente. También evita que la facilidad de generar preguntas sature al grupo. La frecuencia debe responder al ritmo del curso y dejar tiempo para estudiar, discutir y aplicar. La automatización aporta cuando libera atención para tareas complejas y acompañamiento humano (Black &amp; Wiliam, 2009; Wiliam, 2011).</w:t>
      </w:r>
    </w:p>
    <w:p w14:paraId="321D28CE" w14:textId="03BEE75D" w:rsidR="00C75B3F" w:rsidRPr="00C75B3F" w:rsidRDefault="00C75B3F" w:rsidP="00F3437D">
      <w:pPr>
        <w:pStyle w:val="Ttulo2"/>
        <w:rPr>
          <w:lang w:val="es-MX"/>
        </w:rPr>
      </w:pPr>
      <w:bookmarkStart w:id="53" w:name="_Toc239440910"/>
      <w:r w:rsidRPr="00C75B3F">
        <w:rPr>
          <w:lang w:val="es-MX"/>
        </w:rPr>
        <w:t>Retroalimentación inteligente</w:t>
      </w:r>
      <w:bookmarkEnd w:id="53"/>
    </w:p>
    <w:p w14:paraId="23B331B1" w14:textId="0CE63026" w:rsidR="00C75B3F" w:rsidRPr="00C75B3F" w:rsidRDefault="00C75B3F" w:rsidP="00F3437D">
      <w:pPr>
        <w:pStyle w:val="Ttulo3"/>
        <w:rPr>
          <w:lang w:val="es-MX"/>
        </w:rPr>
      </w:pPr>
      <w:bookmarkStart w:id="54" w:name="_Toc239440911"/>
      <w:r w:rsidRPr="00C75B3F">
        <w:rPr>
          <w:lang w:val="es-MX"/>
        </w:rPr>
        <w:t>Fundamentos, oportunidad y especificidad</w:t>
      </w:r>
      <w:bookmarkEnd w:id="54"/>
    </w:p>
    <w:p w14:paraId="2C861863" w14:textId="77777777" w:rsidR="00C75B3F" w:rsidRPr="00C75B3F" w:rsidRDefault="00C75B3F" w:rsidP="00C75B3F">
      <w:pPr>
        <w:rPr>
          <w:lang w:val="es-MX"/>
        </w:rPr>
      </w:pPr>
      <w:r w:rsidRPr="00C75B3F">
        <w:rPr>
          <w:lang w:val="es-MX"/>
        </w:rPr>
        <w:t>La retroalimentación es información sobre el desempeño que ayuda a reducir la distancia entre la situación actual y una meta. Su efecto depende de qué comunica, cuándo llega y qué puede hacer el estudiante. Un comentario correcto pero incomprensible o imposible de aplicar tiene poco valor. La inteligencia artificial permite respuestas inmediatas y personalizadas, pero también puede producir recomendaciones genéricas, contradictorias o excesivas. La calidad se valora por su relación con criterios y por la acción posterior, no por extensión ni tono. Una retroalimentación efectiva responde hacia dónde se dirige el aprendizaje, cómo progresa y cuál es el siguiente paso. Estas preguntas conectan meta, evidencia y decisión (Hattie &amp; Timperley, 2007; Shute, 2008).</w:t>
      </w:r>
    </w:p>
    <w:p w14:paraId="2F625393" w14:textId="77777777" w:rsidR="00C75B3F" w:rsidRPr="00C75B3F" w:rsidRDefault="00C75B3F" w:rsidP="00C75B3F">
      <w:pPr>
        <w:rPr>
          <w:lang w:val="es-MX"/>
        </w:rPr>
      </w:pPr>
      <w:r w:rsidRPr="00C75B3F">
        <w:rPr>
          <w:lang w:val="es-MX"/>
        </w:rPr>
        <w:t>La oportunidad importa porque una observación llega a tiempo cuando todavía existe posibilidad de actuar. En ejercicios procedimentales, la respuesta inmediata puede impedir consolidar un error. En tareas complejas, una pausa antes de recibir comentarios favorece intento y autorregulación. Un sistema que interviene en cada frase puede fragmentar escritura y aumentar dependencia. El diseño debe decidir qué retroalimentación se ofrece durante, después o antes de la siguiente tarea. También conviene permitir que el estudiante la solicite. La inmediatez no es un valor absoluto. Una demora breve acompañada de reflexión puede producir mayor elaboración. La automatización es útil cuando amplía ciclos de práctica, siempre que preserve espacios de esfuerzo productivo y que el docente supervise los patrones (Shute, 2008; Molenaar, 2022).</w:t>
      </w:r>
    </w:p>
    <w:p w14:paraId="6A2CFE6C" w14:textId="77777777" w:rsidR="00C75B3F" w:rsidRPr="00C75B3F" w:rsidRDefault="00C75B3F" w:rsidP="00C75B3F">
      <w:pPr>
        <w:rPr>
          <w:lang w:val="es-MX"/>
        </w:rPr>
      </w:pPr>
      <w:r w:rsidRPr="00C75B3F">
        <w:rPr>
          <w:lang w:val="es-MX"/>
        </w:rPr>
        <w:t xml:space="preserve">La especificidad orienta la revisión. Expresiones como mejorar redacción o profundizar análisis no indican qué hacer. Un comentario útil señala una característica, la relaciona con un criterio y propone una acción alcanzable. Por ejemplo, puede indicar que una conclusión introduce una causa no sustentada y pedir que se aporte evidencia o se reformule el alcance. Los modelos generativos pueden producir detalles aparentes sin comprender el contexto. Deben recibir la tarea, criterios, nivel y fuentes permitidas. El docente valida muestras y configura límites. Es preferible seleccionar dos o tres prioridades que entregar una lista extensa. La retroalimentación debe dejar </w:t>
      </w:r>
      <w:r w:rsidRPr="00C75B3F">
        <w:rPr>
          <w:lang w:val="es-MX"/>
        </w:rPr>
        <w:lastRenderedPageBreak/>
        <w:t>trabajo intelectual al estudiante, evitando reescribir el producto completo. Su finalidad es apoyar decisión y no reemplazar autoría (Hattie &amp; Timperley, 2007; Carless &amp; Boud, 2018).</w:t>
      </w:r>
    </w:p>
    <w:p w14:paraId="5B297523" w14:textId="7A73C393" w:rsidR="00C75B3F" w:rsidRPr="00C75B3F" w:rsidRDefault="00C75B3F" w:rsidP="00F3437D">
      <w:pPr>
        <w:pStyle w:val="Ttulo3"/>
        <w:rPr>
          <w:lang w:val="es-MX"/>
        </w:rPr>
      </w:pPr>
      <w:bookmarkStart w:id="55" w:name="_Toc239440912"/>
      <w:r w:rsidRPr="00C75B3F">
        <w:rPr>
          <w:lang w:val="es-MX"/>
        </w:rPr>
        <w:t>Niveles, diálogo y alfabetización de retroalimentación</w:t>
      </w:r>
      <w:bookmarkEnd w:id="55"/>
    </w:p>
    <w:p w14:paraId="607F9BE0" w14:textId="77777777" w:rsidR="00C75B3F" w:rsidRPr="00C75B3F" w:rsidRDefault="00C75B3F" w:rsidP="00C75B3F">
      <w:pPr>
        <w:rPr>
          <w:lang w:val="es-MX"/>
        </w:rPr>
      </w:pPr>
      <w:r w:rsidRPr="00C75B3F">
        <w:rPr>
          <w:lang w:val="es-MX"/>
        </w:rPr>
        <w:t>La retroalimentación puede dirigirse a la tarea, al proceso, a la autorregulación o a la persona. Los comentarios sobre tarea señalan exactitud o cumplimiento. Los de proceso orientan estrategias. Los de autorregulación ayudan a planificar, verificar y solicitar apoyo. Los comentarios centrados en rasgos personales, como eres brillante, ofrecen poca guía y pueden afectar motivación. Un sistema inteligente debería priorizar tarea, proceso y regulación. También debe evitar inferencias emocionales o diagnósticas. Si detecta lenguaje de angustia, puede presentar recursos y derivar, sin asumir funciones clínicas. El docente necesita revisar plantillas para eliminar tono paternalista, manipulación o certeza injustificada. La personalización responsable se basa en evidencia relevante y no en perfiles invasivos (Hattie &amp; Timperley, 2007; UNESCO, 2021).</w:t>
      </w:r>
    </w:p>
    <w:p w14:paraId="1A8BCA40" w14:textId="77777777" w:rsidR="00C75B3F" w:rsidRPr="00C75B3F" w:rsidRDefault="00C75B3F" w:rsidP="00C75B3F">
      <w:pPr>
        <w:rPr>
          <w:lang w:val="es-MX"/>
        </w:rPr>
      </w:pPr>
      <w:r w:rsidRPr="00C75B3F">
        <w:rPr>
          <w:lang w:val="es-MX"/>
        </w:rPr>
        <w:t>La retroalimentación dialogada permite preguntar, aclarar y negociar significado. Un comentario escrito es el inicio de una conversación, no necesariamente su cierre. Los asistentes pueden ofrecer disponibilidad para explicar criterios y presentar ejemplos, pero deben reconocer límites. El estudiante puede pedir una justificación, señalar una discrepancia o comparar con el comentario docente. Las interfaces deberían conservar el contexto y mostrar qué fuente o regla sustenta la sugerencia. En decisiones sumativas, la persona necesita acceso a un responsable. Una actividad formativa puede pedir que el estudiante clasifique comentarios automáticos en aceptados, modificados y rechazados, justificando cada decisión. Así desarrolla alfabetización de retroalimentación y evita obediencia automática (Carless &amp; Boud, 2018; Nicol et al., 2014).</w:t>
      </w:r>
    </w:p>
    <w:p w14:paraId="7FDAC5F9" w14:textId="0FCE7C38" w:rsidR="00C75B3F" w:rsidRPr="00C75B3F" w:rsidRDefault="00C75B3F" w:rsidP="00C75B3F">
      <w:pPr>
        <w:rPr>
          <w:lang w:val="es-MX"/>
        </w:rPr>
      </w:pPr>
      <w:r w:rsidRPr="00C75B3F">
        <w:rPr>
          <w:lang w:val="es-MX"/>
        </w:rPr>
        <w:t xml:space="preserve">La alfabetización de retroalimentación comprende apreciar su propósito, emitir juicios, gestionar emociones y actuar. Recibir más comentarios no garantiza mejora si el estudiante no comprende criterios ni sabe revisar. La enseñanza puede utilizar ejemplos, comparación de niveles y tiempo en clase para aplicar. La inteligencia artificial ofrece práctica frecuente, aunque el alumnado debe aprender a evaluar su calidad. Una respuesta que contradice el </w:t>
      </w:r>
      <w:r w:rsidR="00F3437D" w:rsidRPr="00C75B3F">
        <w:rPr>
          <w:lang w:val="es-MX"/>
        </w:rPr>
        <w:t>enunciado</w:t>
      </w:r>
      <w:r w:rsidRPr="00C75B3F">
        <w:rPr>
          <w:lang w:val="es-MX"/>
        </w:rPr>
        <w:t xml:space="preserve"> inventa una regla o privilegia un estilo no debe adoptarse. El estudiante necesita distinguir corrección, sugerencia y preferencia. También debe reconocer que una revisión puede empeorar el texto. La evidencia de aprendizaje incluye explicar qué cambió y por qué. Este enfoque desplaza la atención desde la entrega de comentarios hacia el desarrollo de capacidad para usarlos (Carless &amp; Boud, 2018).</w:t>
      </w:r>
    </w:p>
    <w:p w14:paraId="06E9E1AA" w14:textId="7EAB03D4" w:rsidR="00C75B3F" w:rsidRPr="00C75B3F" w:rsidRDefault="00C75B3F" w:rsidP="00F3437D">
      <w:pPr>
        <w:pStyle w:val="Ttulo3"/>
        <w:rPr>
          <w:lang w:val="es-MX"/>
        </w:rPr>
      </w:pPr>
      <w:bookmarkStart w:id="56" w:name="_Toc239440913"/>
      <w:r w:rsidRPr="00C75B3F">
        <w:rPr>
          <w:lang w:val="es-MX"/>
        </w:rPr>
        <w:t>Ejemplos, pistas graduadas y multimodalidad</w:t>
      </w:r>
      <w:bookmarkEnd w:id="56"/>
    </w:p>
    <w:p w14:paraId="5582E224" w14:textId="06957888" w:rsidR="00C75B3F" w:rsidRPr="00C75B3F" w:rsidRDefault="00C75B3F" w:rsidP="00C75B3F">
      <w:pPr>
        <w:rPr>
          <w:lang w:val="es-MX"/>
        </w:rPr>
      </w:pPr>
      <w:r w:rsidRPr="00C75B3F">
        <w:rPr>
          <w:lang w:val="es-MX"/>
        </w:rPr>
        <w:t xml:space="preserve">Los ejemplos y contraejemplos hacen concretos los criterios. Un sistema puede generar versiones de diferente calidad, pero el docente debe verificar que las diferencias representen el </w:t>
      </w:r>
      <w:r w:rsidR="00F3437D" w:rsidRPr="00C75B3F">
        <w:rPr>
          <w:lang w:val="es-MX"/>
        </w:rPr>
        <w:t>constructor</w:t>
      </w:r>
      <w:r w:rsidRPr="00C75B3F">
        <w:rPr>
          <w:lang w:val="es-MX"/>
        </w:rPr>
        <w:t xml:space="preserve"> y no simples variaciones de longitud. Los estudiantes comparan, ordenan y justifican antes de ver la clasificación. Después identifican rasgos transferibles. En escritura, el modelo puede mostrar </w:t>
      </w:r>
      <w:r w:rsidRPr="00C75B3F">
        <w:rPr>
          <w:lang w:val="es-MX"/>
        </w:rPr>
        <w:lastRenderedPageBreak/>
        <w:t>una inferencia sustentada y otra que excede la evidencia. En programación, puede contrastar código funcional con código mantenible. Los ejemplos no se copian como plantillas rígidas. Su propósito es construir una noción de calidad. Cuando se usan producciones reales, se requiere permiso y anonimización. Los ejemplos sintéticos deben declararse como tales y revisarse para evitar errores (Sadler, 1989; Panadero &amp; Jonsson, 2013).</w:t>
      </w:r>
    </w:p>
    <w:p w14:paraId="192A5F70" w14:textId="77777777" w:rsidR="00C75B3F" w:rsidRPr="00C75B3F" w:rsidRDefault="00C75B3F" w:rsidP="00C75B3F">
      <w:pPr>
        <w:rPr>
          <w:lang w:val="es-MX"/>
        </w:rPr>
      </w:pPr>
      <w:r w:rsidRPr="00C75B3F">
        <w:rPr>
          <w:lang w:val="es-MX"/>
        </w:rPr>
        <w:t>Las pistas graduadas ofrecen apoyo creciente. La primera puede recordar el objetivo, la segunda señalar una zona y la tercera mostrar un procedimiento análogo. La solución completa aparece solo cuando cumple una función pedagógica. Este diseño permite que el estudiante conserve control y solicite lo necesario. Un tutor inteligente puede estimar el nivel de ayuda a partir de intentos, pero esa estimación es incierta. Debe permitir pedir más o menos apoyo y explicar por qué interviene. También conviene retirar pistas en tareas posteriores y verificar desempeño independiente. El éxito no se mide por completar el ejercicio con ayuda, sino por transferir la estrategia. Las pistas deben ser accesibles y compatibles con diferentes formas de representación (Molenaar, 2022; Shute, 2008).</w:t>
      </w:r>
    </w:p>
    <w:p w14:paraId="099C15CC" w14:textId="77777777" w:rsidR="00C75B3F" w:rsidRPr="00C75B3F" w:rsidRDefault="00C75B3F" w:rsidP="00C75B3F">
      <w:pPr>
        <w:rPr>
          <w:lang w:val="es-MX"/>
        </w:rPr>
      </w:pPr>
      <w:r w:rsidRPr="00C75B3F">
        <w:rPr>
          <w:lang w:val="es-MX"/>
        </w:rPr>
        <w:t>La retroalimentación multimodal puede combinar texto, audio, marcas visuales y demostraciones. La selección depende de la tarea y de necesidades de acceso. Un comentario de audio transmite matices, pero dificulta localizar información; un texto facilita revisión, aunque puede parecer impersonal. La inteligencia artificial puede transcribir, resumir o convertir formatos. Cada transformación requiere verificación, especialmente en terminología, nombres y fórmulas. Deben ofrecerse alternativas, subtítulos y estructura navegable. La multimodalidad no justifica añadir estímulos. El mensaje central debe mantenerse consistente. La privacidad es relevante cuando se procesan voz, imagen o desempeño grabado. El estudiante debe conocer el tratamiento y contar con opciones razonables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 UNESCO, 2021).</w:t>
      </w:r>
    </w:p>
    <w:p w14:paraId="43FCD8E0" w14:textId="15FCB3A9" w:rsidR="00C75B3F" w:rsidRPr="00C75B3F" w:rsidRDefault="00C75B3F" w:rsidP="00C75B3F">
      <w:pPr>
        <w:rPr>
          <w:lang w:val="es-MX"/>
        </w:rPr>
      </w:pPr>
      <w:r w:rsidRPr="00C75B3F">
        <w:rPr>
          <w:b/>
          <w:bCs/>
          <w:lang w:val="es-MX"/>
        </w:rPr>
        <w:t>Tabla</w:t>
      </w:r>
      <w:r w:rsidR="00FA6F60">
        <w:rPr>
          <w:b/>
          <w:bCs/>
          <w:lang w:val="es-MX"/>
        </w:rPr>
        <w:t xml:space="preserve"> 3</w:t>
      </w:r>
      <w:r w:rsidRPr="00C75B3F">
        <w:rPr>
          <w:b/>
          <w:bCs/>
          <w:lang w:val="es-MX"/>
        </w:rPr>
        <w:t>.2. Niveles de retroalimentación inteligente</w:t>
      </w:r>
    </w:p>
    <w:tbl>
      <w:tblPr>
        <w:tblStyle w:val="Tablanormal2"/>
        <w:tblW w:w="8392" w:type="dxa"/>
        <w:tblLook w:val="04A0" w:firstRow="1" w:lastRow="0" w:firstColumn="1" w:lastColumn="0" w:noHBand="0" w:noVBand="1"/>
      </w:tblPr>
      <w:tblGrid>
        <w:gridCol w:w="2098"/>
        <w:gridCol w:w="2098"/>
        <w:gridCol w:w="2098"/>
        <w:gridCol w:w="2098"/>
      </w:tblGrid>
      <w:tr w:rsidR="00C75B3F" w:rsidRPr="00C75B3F" w14:paraId="16ADC1FF" w14:textId="77777777" w:rsidTr="00061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618D1D4" w14:textId="77777777" w:rsidR="00C75B3F" w:rsidRPr="0006103B" w:rsidRDefault="00C75B3F" w:rsidP="0006103B">
            <w:pPr>
              <w:spacing w:before="0" w:after="0" w:line="240" w:lineRule="auto"/>
              <w:rPr>
                <w:sz w:val="20"/>
                <w:szCs w:val="20"/>
                <w:lang w:val="es-MX"/>
              </w:rPr>
            </w:pPr>
            <w:r w:rsidRPr="0006103B">
              <w:rPr>
                <w:sz w:val="20"/>
                <w:szCs w:val="20"/>
                <w:lang w:val="es-MX"/>
              </w:rPr>
              <w:t>Nivel</w:t>
            </w:r>
          </w:p>
        </w:tc>
        <w:tc>
          <w:tcPr>
            <w:tcW w:w="2098" w:type="dxa"/>
            <w:vAlign w:val="center"/>
            <w:hideMark/>
          </w:tcPr>
          <w:p w14:paraId="1136A4A9" w14:textId="77777777" w:rsidR="00C75B3F" w:rsidRPr="0006103B" w:rsidRDefault="00C75B3F" w:rsidP="0006103B">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Pregunta que atiende</w:t>
            </w:r>
          </w:p>
        </w:tc>
        <w:tc>
          <w:tcPr>
            <w:tcW w:w="2098" w:type="dxa"/>
            <w:vAlign w:val="center"/>
            <w:hideMark/>
          </w:tcPr>
          <w:p w14:paraId="7857976C" w14:textId="77777777" w:rsidR="00C75B3F" w:rsidRPr="0006103B" w:rsidRDefault="00C75B3F" w:rsidP="0006103B">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Ejemplo de apoyo</w:t>
            </w:r>
          </w:p>
        </w:tc>
        <w:tc>
          <w:tcPr>
            <w:tcW w:w="2098" w:type="dxa"/>
            <w:vAlign w:val="center"/>
            <w:hideMark/>
          </w:tcPr>
          <w:p w14:paraId="5358F4A2" w14:textId="77777777" w:rsidR="00C75B3F" w:rsidRPr="0006103B" w:rsidRDefault="00C75B3F" w:rsidP="0006103B">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Riesgo</w:t>
            </w:r>
          </w:p>
        </w:tc>
      </w:tr>
      <w:tr w:rsidR="00C75B3F" w:rsidRPr="00C75B3F" w14:paraId="6B99A04F"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2F810A1" w14:textId="77777777" w:rsidR="00C75B3F" w:rsidRPr="0006103B" w:rsidRDefault="00C75B3F" w:rsidP="0006103B">
            <w:pPr>
              <w:spacing w:before="0" w:after="0" w:line="240" w:lineRule="auto"/>
              <w:rPr>
                <w:sz w:val="20"/>
                <w:szCs w:val="20"/>
                <w:lang w:val="es-MX"/>
              </w:rPr>
            </w:pPr>
            <w:r w:rsidRPr="0006103B">
              <w:rPr>
                <w:sz w:val="20"/>
                <w:szCs w:val="20"/>
                <w:lang w:val="es-MX"/>
              </w:rPr>
              <w:t>Tarea</w:t>
            </w:r>
          </w:p>
        </w:tc>
        <w:tc>
          <w:tcPr>
            <w:tcW w:w="2098" w:type="dxa"/>
            <w:vAlign w:val="center"/>
            <w:hideMark/>
          </w:tcPr>
          <w:p w14:paraId="21A2C4C9"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¿Es correcto o cumple el criterio?</w:t>
            </w:r>
          </w:p>
        </w:tc>
        <w:tc>
          <w:tcPr>
            <w:tcW w:w="2098" w:type="dxa"/>
            <w:vAlign w:val="center"/>
            <w:hideMark/>
          </w:tcPr>
          <w:p w14:paraId="7C6413C1"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Señala una discrepancia específica</w:t>
            </w:r>
          </w:p>
        </w:tc>
        <w:tc>
          <w:tcPr>
            <w:tcW w:w="2098" w:type="dxa"/>
            <w:vAlign w:val="center"/>
            <w:hideMark/>
          </w:tcPr>
          <w:p w14:paraId="2656D0EB"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Reducir todo a corrección superficial</w:t>
            </w:r>
          </w:p>
        </w:tc>
      </w:tr>
      <w:tr w:rsidR="00C75B3F" w:rsidRPr="00C75B3F" w14:paraId="25C1C36B"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FA7E7D6" w14:textId="77777777" w:rsidR="00C75B3F" w:rsidRPr="0006103B" w:rsidRDefault="00C75B3F" w:rsidP="0006103B">
            <w:pPr>
              <w:spacing w:before="0" w:after="0" w:line="240" w:lineRule="auto"/>
              <w:rPr>
                <w:sz w:val="20"/>
                <w:szCs w:val="20"/>
                <w:lang w:val="es-MX"/>
              </w:rPr>
            </w:pPr>
            <w:r w:rsidRPr="0006103B">
              <w:rPr>
                <w:sz w:val="20"/>
                <w:szCs w:val="20"/>
                <w:lang w:val="es-MX"/>
              </w:rPr>
              <w:t>Proceso</w:t>
            </w:r>
          </w:p>
        </w:tc>
        <w:tc>
          <w:tcPr>
            <w:tcW w:w="2098" w:type="dxa"/>
            <w:vAlign w:val="center"/>
            <w:hideMark/>
          </w:tcPr>
          <w:p w14:paraId="677607BB"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¿Qué estrategia conviene revisar?</w:t>
            </w:r>
          </w:p>
        </w:tc>
        <w:tc>
          <w:tcPr>
            <w:tcW w:w="2098" w:type="dxa"/>
            <w:vAlign w:val="center"/>
            <w:hideMark/>
          </w:tcPr>
          <w:p w14:paraId="36138F0A"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Propone una pista o comparación</w:t>
            </w:r>
          </w:p>
        </w:tc>
        <w:tc>
          <w:tcPr>
            <w:tcW w:w="2098" w:type="dxa"/>
            <w:vAlign w:val="center"/>
            <w:hideMark/>
          </w:tcPr>
          <w:p w14:paraId="27634102"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Entregar el procedimiento completo</w:t>
            </w:r>
          </w:p>
        </w:tc>
      </w:tr>
      <w:tr w:rsidR="00C75B3F" w:rsidRPr="00C75B3F" w14:paraId="4A1DF86E"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572A39C" w14:textId="77777777" w:rsidR="00C75B3F" w:rsidRPr="0006103B" w:rsidRDefault="00C75B3F" w:rsidP="0006103B">
            <w:pPr>
              <w:spacing w:before="0" w:after="0" w:line="240" w:lineRule="auto"/>
              <w:rPr>
                <w:sz w:val="20"/>
                <w:szCs w:val="20"/>
                <w:lang w:val="es-MX"/>
              </w:rPr>
            </w:pPr>
            <w:r w:rsidRPr="0006103B">
              <w:rPr>
                <w:sz w:val="20"/>
                <w:szCs w:val="20"/>
                <w:lang w:val="es-MX"/>
              </w:rPr>
              <w:t>Autorregulación</w:t>
            </w:r>
          </w:p>
        </w:tc>
        <w:tc>
          <w:tcPr>
            <w:tcW w:w="2098" w:type="dxa"/>
            <w:vAlign w:val="center"/>
            <w:hideMark/>
          </w:tcPr>
          <w:p w14:paraId="69FB52F0"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¿Cómo planificar y comprobar?</w:t>
            </w:r>
          </w:p>
        </w:tc>
        <w:tc>
          <w:tcPr>
            <w:tcW w:w="2098" w:type="dxa"/>
            <w:vAlign w:val="center"/>
            <w:hideMark/>
          </w:tcPr>
          <w:p w14:paraId="69A9B506"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Formula preguntas metacognitivas</w:t>
            </w:r>
          </w:p>
        </w:tc>
        <w:tc>
          <w:tcPr>
            <w:tcW w:w="2098" w:type="dxa"/>
            <w:vAlign w:val="center"/>
            <w:hideMark/>
          </w:tcPr>
          <w:p w14:paraId="2E92A057"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Generar dependencia de recordatorios</w:t>
            </w:r>
          </w:p>
        </w:tc>
      </w:tr>
      <w:tr w:rsidR="00C75B3F" w:rsidRPr="00C75B3F" w14:paraId="18FD4615"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AD07118" w14:textId="77777777" w:rsidR="00C75B3F" w:rsidRPr="0006103B" w:rsidRDefault="00C75B3F" w:rsidP="0006103B">
            <w:pPr>
              <w:spacing w:before="0" w:after="0" w:line="240" w:lineRule="auto"/>
              <w:rPr>
                <w:sz w:val="20"/>
                <w:szCs w:val="20"/>
                <w:lang w:val="es-MX"/>
              </w:rPr>
            </w:pPr>
            <w:r w:rsidRPr="0006103B">
              <w:rPr>
                <w:sz w:val="20"/>
                <w:szCs w:val="20"/>
                <w:lang w:val="es-MX"/>
              </w:rPr>
              <w:t>Transferencia</w:t>
            </w:r>
          </w:p>
        </w:tc>
        <w:tc>
          <w:tcPr>
            <w:tcW w:w="2098" w:type="dxa"/>
            <w:vAlign w:val="center"/>
            <w:hideMark/>
          </w:tcPr>
          <w:p w14:paraId="298F9D75"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¿Cómo aplicar lo aprendido después?</w:t>
            </w:r>
          </w:p>
        </w:tc>
        <w:tc>
          <w:tcPr>
            <w:tcW w:w="2098" w:type="dxa"/>
            <w:vAlign w:val="center"/>
            <w:hideMark/>
          </w:tcPr>
          <w:p w14:paraId="05984F2C"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Conecta con una tarea posterior</w:t>
            </w:r>
          </w:p>
        </w:tc>
        <w:tc>
          <w:tcPr>
            <w:tcW w:w="2098" w:type="dxa"/>
            <w:vAlign w:val="center"/>
            <w:hideMark/>
          </w:tcPr>
          <w:p w14:paraId="3F221144"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Limitar el comentario al producto actual</w:t>
            </w:r>
          </w:p>
        </w:tc>
      </w:tr>
    </w:tbl>
    <w:p w14:paraId="47764814" w14:textId="77777777" w:rsidR="00C75B3F" w:rsidRPr="00C75B3F" w:rsidRDefault="00C75B3F" w:rsidP="00C75B3F">
      <w:pPr>
        <w:rPr>
          <w:lang w:val="es-MX"/>
        </w:rPr>
      </w:pPr>
      <w:r w:rsidRPr="00C75B3F">
        <w:rPr>
          <w:i/>
          <w:iCs/>
          <w:lang w:val="es-MX"/>
        </w:rPr>
        <w:t>Fuente: elaboración propia a partir de las referencias citadas en el apartado.</w:t>
      </w:r>
    </w:p>
    <w:p w14:paraId="1FB806CD" w14:textId="3D14383A" w:rsidR="00C75B3F" w:rsidRPr="00C75B3F" w:rsidRDefault="00C75B3F" w:rsidP="0006103B">
      <w:pPr>
        <w:pStyle w:val="Ttulo3"/>
        <w:rPr>
          <w:lang w:val="es-MX"/>
        </w:rPr>
      </w:pPr>
      <w:bookmarkStart w:id="57" w:name="_Toc239440914"/>
      <w:r w:rsidRPr="00C75B3F">
        <w:rPr>
          <w:lang w:val="es-MX"/>
        </w:rPr>
        <w:t>Personalización, tono y retroalimentación colectiva</w:t>
      </w:r>
      <w:bookmarkEnd w:id="57"/>
    </w:p>
    <w:p w14:paraId="71E9B0A6" w14:textId="77777777" w:rsidR="00C75B3F" w:rsidRPr="00C75B3F" w:rsidRDefault="00C75B3F" w:rsidP="00C75B3F">
      <w:pPr>
        <w:rPr>
          <w:lang w:val="es-MX"/>
        </w:rPr>
      </w:pPr>
      <w:r w:rsidRPr="00C75B3F">
        <w:rPr>
          <w:lang w:val="es-MX"/>
        </w:rPr>
        <w:t xml:space="preserve">La personalización de comentarios puede utilizar el nivel de la tarea, errores previos y metas declaradas. No debería basarse en inferencias opacas sobre capacidad o personalidad. Un sistema </w:t>
      </w:r>
      <w:r w:rsidRPr="00C75B3F">
        <w:rPr>
          <w:lang w:val="es-MX"/>
        </w:rPr>
        <w:lastRenderedPageBreak/>
        <w:t>puede recordar una dificultad y proponer práctica, pero el estudiante necesita ver y corregir su perfil. La personalización debe ampliar oportunidades, no encerrar en ejercicios fáciles. Conviene incluir desafío y elección. También se revisa si determinados grupos reciben comentarios menos exigentes, más negativos o estereotipados. Las pruebas comparan casos equivalentes y analizan discrepancias. El docente mantiene expectativas comunes y adapta apoyos. Personalizar significa hacer la información utilizable, no modificar silenciosamente el estándar (UNESCO, 2021; Tabassi, 2023).</w:t>
      </w:r>
    </w:p>
    <w:p w14:paraId="2D2AC9C4" w14:textId="77777777" w:rsidR="00C75B3F" w:rsidRPr="00C75B3F" w:rsidRDefault="00C75B3F" w:rsidP="00C75B3F">
      <w:pPr>
        <w:rPr>
          <w:lang w:val="es-MX"/>
        </w:rPr>
      </w:pPr>
      <w:r w:rsidRPr="00C75B3F">
        <w:rPr>
          <w:lang w:val="es-MX"/>
        </w:rPr>
        <w:t>El tono influye en la disposición a revisar. Los sistemas pueden generar lenguaje cortés, pero cortesía no equivale a respeto. Un comentario puede ser condescendiente, atribuir intenciones o usar fórmulas repetitivas. Las pautas deben centrarse en el trabajo, describir evidencia y evitar juicios sobre identidad. También deben reconocer incertidumbre cuando corresponde. El estudiante puede elegir un formato más directo o explicativo, sin alterar criterios. La institución debe probar resultados en distintas variedades lingüísticas y evitar imponer una norma estilística única cuando no forma parte del resultado. El tono responsable combina claridad, exigencia y posibilidad de respuesta (Carless &amp; Boud, 2018; UNESCO, 2021).</w:t>
      </w:r>
    </w:p>
    <w:p w14:paraId="5D8B289C" w14:textId="77777777" w:rsidR="00C75B3F" w:rsidRPr="00C75B3F" w:rsidRDefault="00C75B3F" w:rsidP="00C75B3F">
      <w:pPr>
        <w:rPr>
          <w:lang w:val="es-MX"/>
        </w:rPr>
      </w:pPr>
      <w:r w:rsidRPr="00C75B3F">
        <w:rPr>
          <w:lang w:val="es-MX"/>
        </w:rPr>
        <w:t>La retroalimentación colectiva responde a patrones comunes. La inteligencia artificial puede agrupar errores y producir un borrador de explicación. El docente revisa categorías, selecciona ejemplos y diseña una actividad. Esta modalidad evita repetir comentarios y protege privacidad si los resultados se presentan agregados. No debe reemplazar atención individual cuando la dificultad es específica. Una sesión colectiva puede pedir que los estudiantes diagnostiquen ejemplos, corrijan y luego regresen a su trabajo. Los patrones también informan el diseño de enseñanza. Si gran parte del grupo interpreta mal una consigna, quizá el problema se encuentre en la actividad. La retroalimentación mejora el sistema educativo cuando no atribuye todo error al estudiante (Black &amp; Wiliam, 2009; Wiliam, 2011).</w:t>
      </w:r>
    </w:p>
    <w:p w14:paraId="3EA1E2A8" w14:textId="2F184A36" w:rsidR="00C75B3F" w:rsidRPr="00C75B3F" w:rsidRDefault="00C75B3F" w:rsidP="0006103B">
      <w:pPr>
        <w:pStyle w:val="Ttulo3"/>
        <w:rPr>
          <w:lang w:val="es-MX"/>
        </w:rPr>
      </w:pPr>
      <w:bookmarkStart w:id="58" w:name="_Toc239440915"/>
      <w:r w:rsidRPr="00C75B3F">
        <w:rPr>
          <w:lang w:val="es-MX"/>
        </w:rPr>
        <w:t>Control docente, efectividad, ética y transferencia</w:t>
      </w:r>
      <w:bookmarkEnd w:id="58"/>
    </w:p>
    <w:p w14:paraId="638115C7" w14:textId="77777777" w:rsidR="00C75B3F" w:rsidRPr="00C75B3F" w:rsidRDefault="00C75B3F" w:rsidP="00C75B3F">
      <w:pPr>
        <w:rPr>
          <w:lang w:val="es-MX"/>
        </w:rPr>
      </w:pPr>
      <w:r w:rsidRPr="00C75B3F">
        <w:rPr>
          <w:lang w:val="es-MX"/>
        </w:rPr>
        <w:t>El docente necesita controlar la generación y distribución. Debe poder editar, detener, revisar muestras y conocer cambios de versión. Las sugerencias de alto riesgo no deberían enviarse automáticamente. Un flujo razonable separa borrador automático, validación y comunicación. Los niveles de control dependen de propósito y consecuencias. En práctica voluntaria, el estudiante puede recibir resultados con aviso de limitaciones. En calificaciones, la revisión es obligatoria. Los registros deben permitir reconstruir qué criterio y versión produjeron un comentario. La carga de supervisión se mide en condiciones reales. Si revisar salidas consume más tiempo que comentar directamente, la herramienta no aporta eficiencia (Tabassi, 2023; OECD, 2026).</w:t>
      </w:r>
    </w:p>
    <w:p w14:paraId="6A2D6FD2" w14:textId="77777777" w:rsidR="00C75B3F" w:rsidRPr="00C75B3F" w:rsidRDefault="00C75B3F" w:rsidP="00C75B3F">
      <w:pPr>
        <w:rPr>
          <w:lang w:val="es-MX"/>
        </w:rPr>
      </w:pPr>
      <w:r w:rsidRPr="00C75B3F">
        <w:rPr>
          <w:lang w:val="es-MX"/>
        </w:rPr>
        <w:lastRenderedPageBreak/>
        <w:t>La efectividad se evalúa por la revisión posterior. Se pueden comparar versiones, analizar qué comentarios fueron usados y observar desempeño en una tarea nueva. Las encuestas de satisfacción aportan contexto, pero el agrado por la rapidez no demuestra aprendizaje. También se examinan diferencias entre grupos, cantidad de comentarios, tiempo docente y errores. Un diseño experimental o cuasiexperimental puede ser apropiado, aunque en la práctica institucional también sirven pilotos con criterios previos. La evaluación debe distinguir efecto de la herramienta, de la actividad y del acompañamiento. Los resultados se documentan para decidir continuidad. Una tecnología que produce abundante retroalimentación pero no mejora decisiones puede aumentar ruido (Shute, 2008; Almasri, 2024).</w:t>
      </w:r>
    </w:p>
    <w:p w14:paraId="6C27C725" w14:textId="77777777" w:rsidR="00C75B3F" w:rsidRPr="00C75B3F" w:rsidRDefault="00C75B3F" w:rsidP="00C75B3F">
      <w:pPr>
        <w:rPr>
          <w:lang w:val="es-MX"/>
        </w:rPr>
      </w:pPr>
      <w:r w:rsidRPr="00C75B3F">
        <w:rPr>
          <w:lang w:val="es-MX"/>
        </w:rPr>
        <w:t>La ética de la retroalimentación incluye privacidad, transparencia y cuidado. Los borradores estudiantiles son datos académicos y pueden contener experiencias personales o propiedad intelectual. No deben enviarse a servicios no autorizados. El estudiante necesita saber quién genera el comentario, qué datos utiliza y si influirá en una nota. También debe existir una vía para informar errores y solicitar revisión. La retroalimentación automática no puede utilizarse para sancionar sin comprobación. En situaciones sensibles, la relación humana es irremplazable. La institución debe establecer contratos, controles de acceso, retención y responsabilidad. La confianza surge de prácticas verificables, no de una etiqueta que declare al sistema responsable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 UNESCO, 2021).</w:t>
      </w:r>
    </w:p>
    <w:p w14:paraId="4D0FB9F2" w14:textId="77777777" w:rsidR="00C75B3F" w:rsidRDefault="00C75B3F" w:rsidP="00C75B3F">
      <w:pPr>
        <w:rPr>
          <w:lang w:val="es-MX"/>
        </w:rPr>
      </w:pPr>
      <w:r w:rsidRPr="00C75B3F">
        <w:rPr>
          <w:lang w:val="es-MX"/>
        </w:rPr>
        <w:t>El diseño de retroalimentación debe prever el paso hacia una tarea posterior. Los comentarios pierden impacto cuando se aplican únicamente a un producto que no volverá a revisarse. Una estrategia consiste en solicitar una nueva versión; otra, pedir un plan de mejora que se utilice en la siguiente actividad. El sistema puede recordar metas elegidas y presentar preguntas de seguimiento, pero el estudiante conserva la decisión. El docente comprueba transferencia mediante un problema distinto. Este enfoque, conocido como orientación prospectiva, convierte la retroalimentación en una relación entre tareas y no en una justificación retrospectiva de la nota. La secuencia curricular debe reservar tiempo y reconocer la revisión como parte del trabajo (Carless &amp; Boud, 2018; Nicol et al., 2014).</w:t>
      </w:r>
    </w:p>
    <w:p w14:paraId="0C2CAB55" w14:textId="4E2E0F9D" w:rsidR="00002B1C" w:rsidRPr="00C75B3F" w:rsidRDefault="00002B1C" w:rsidP="00C75B3F">
      <w:pPr>
        <w:rPr>
          <w:lang w:val="es-MX"/>
        </w:rPr>
      </w:pPr>
      <w:r>
        <w:rPr>
          <w:noProof/>
          <w:lang w:val="es-MX"/>
        </w:rPr>
        <w:lastRenderedPageBreak/>
        <w:drawing>
          <wp:inline distT="0" distB="0" distL="0" distR="0" wp14:anchorId="54D1B9D2" wp14:editId="5819EA5A">
            <wp:extent cx="5391150" cy="3600450"/>
            <wp:effectExtent l="0" t="0" r="0" b="0"/>
            <wp:docPr id="45694817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14:paraId="6F5D5B24" w14:textId="56669E78" w:rsidR="00C75B3F" w:rsidRPr="00C75B3F" w:rsidRDefault="00C75B3F" w:rsidP="0006103B">
      <w:pPr>
        <w:pStyle w:val="Ttulo2"/>
        <w:rPr>
          <w:lang w:val="es-MX"/>
        </w:rPr>
      </w:pPr>
      <w:bookmarkStart w:id="59" w:name="_Toc239440916"/>
      <w:r w:rsidRPr="00C75B3F">
        <w:rPr>
          <w:lang w:val="es-MX"/>
        </w:rPr>
        <w:t>Diseño de instrumentos y rúbricas</w:t>
      </w:r>
      <w:bookmarkEnd w:id="59"/>
    </w:p>
    <w:p w14:paraId="6B7E794C" w14:textId="6F0F0361" w:rsidR="00C75B3F" w:rsidRPr="00C75B3F" w:rsidRDefault="00C75B3F" w:rsidP="0006103B">
      <w:pPr>
        <w:pStyle w:val="Ttulo3"/>
        <w:rPr>
          <w:lang w:val="es-MX"/>
        </w:rPr>
      </w:pPr>
      <w:bookmarkStart w:id="60" w:name="_Toc239440917"/>
      <w:r w:rsidRPr="00C75B3F">
        <w:rPr>
          <w:lang w:val="es-MX"/>
        </w:rPr>
        <w:t>Constructo, tabla de especificaciones y autenticidad</w:t>
      </w:r>
      <w:bookmarkEnd w:id="60"/>
    </w:p>
    <w:p w14:paraId="6E005750" w14:textId="77777777" w:rsidR="00C75B3F" w:rsidRPr="00C75B3F" w:rsidRDefault="00C75B3F" w:rsidP="00C75B3F">
      <w:pPr>
        <w:rPr>
          <w:lang w:val="es-MX"/>
        </w:rPr>
      </w:pPr>
      <w:r w:rsidRPr="00C75B3F">
        <w:rPr>
          <w:lang w:val="es-MX"/>
        </w:rPr>
        <w:t>Un instrumento de evaluación es un medio para obtener evidencia, mientras que una rúbrica describe criterios y niveles de calidad. El diseño comienza con el resultado de aprendizaje y la decisión que se tomará. Después se define la actuación, las condiciones, el producto y los criterios. La inteligencia artificial puede proponer formatos y descriptores, pero no conoce plenamente el currículo ni el contexto. Un instrumento técnicamente elegante puede medir una capacidad distinta. El docente debe formular un argumento de evaluación: por qué las respuestas observadas permiten interpretar el aprendizaje y qué usos son legítimos. Esta lógica evita que la automatización se convierta en el punto de partida (AERA et al., 2014; Kane, 2013).</w:t>
      </w:r>
    </w:p>
    <w:p w14:paraId="1E2277E6" w14:textId="77777777" w:rsidR="00C75B3F" w:rsidRPr="00C75B3F" w:rsidRDefault="00C75B3F" w:rsidP="00C75B3F">
      <w:pPr>
        <w:rPr>
          <w:lang w:val="es-MX"/>
        </w:rPr>
      </w:pPr>
      <w:r w:rsidRPr="00C75B3F">
        <w:rPr>
          <w:lang w:val="es-MX"/>
        </w:rPr>
        <w:t>La tabla de especificaciones distribuye contenidos, procesos cognitivos y peso. Permite comprobar cobertura y evitar que una prueba se concentre en lo fácil de generar o calificar. Para cada resultado se define número y tipo de tareas, contexto y demanda. Un modelo puede revisar equilibrio o sugerir ítems, pero el docente valida. La tabla también ayuda a crear formas equivalentes y planificar ajustes. No debe transformarse en una cuadrícula mecánica que excluya integración. Las competencias complejas suelen requerir casos que combinan conocimientos. En esos casos, se documenta qué evidencia aporta cada parte. La trazabilidad entre resultado, tarea y criterio fortalece transparencia y facilita revisión (Downing, 2006; AERA et al., 2014).</w:t>
      </w:r>
    </w:p>
    <w:p w14:paraId="2B5E7252" w14:textId="77777777" w:rsidR="00C75B3F" w:rsidRPr="00C75B3F" w:rsidRDefault="00C75B3F" w:rsidP="00C75B3F">
      <w:pPr>
        <w:rPr>
          <w:lang w:val="es-MX"/>
        </w:rPr>
      </w:pPr>
      <w:r w:rsidRPr="00C75B3F">
        <w:rPr>
          <w:lang w:val="es-MX"/>
        </w:rPr>
        <w:t xml:space="preserve">La autenticidad se refiere a la relación entre la evaluación y prácticas significativas. No exige copiar exactamente el trabajo profesional. Una tarea auténtica presenta propósito, audiencia, </w:t>
      </w:r>
      <w:r w:rsidRPr="00C75B3F">
        <w:rPr>
          <w:lang w:val="es-MX"/>
        </w:rPr>
        <w:lastRenderedPageBreak/>
        <w:t xml:space="preserve">restricciones y necesidad de juicio. En contextos con inteligencia artificial puede permitir herramientas que existirán en la profesión, mientras exige verificación y responsabilidad. También incluye momentos sin asistencia cuando se necesita conocimiento para supervisar. Un proyecto puede solicitar un producto, bitácora, defensa y transferencia a un caso nuevo. Esta combinación dificulta que una salida generada sustituya el aprendizaje y ofrece múltiples evidencias. La autenticidad debe equilibrarse con viabilidad, equidad y seguridad (Dawson, 2021; Boud &amp; </w:t>
      </w:r>
      <w:proofErr w:type="spellStart"/>
      <w:r w:rsidRPr="00C75B3F">
        <w:rPr>
          <w:lang w:val="es-MX"/>
        </w:rPr>
        <w:t>Falchikov</w:t>
      </w:r>
      <w:proofErr w:type="spellEnd"/>
      <w:r w:rsidRPr="00C75B3F">
        <w:rPr>
          <w:lang w:val="es-MX"/>
        </w:rPr>
        <w:t>, 2007).</w:t>
      </w:r>
    </w:p>
    <w:p w14:paraId="61547D5E" w14:textId="75F20D70" w:rsidR="00C75B3F" w:rsidRPr="00C75B3F" w:rsidRDefault="00C75B3F" w:rsidP="0006103B">
      <w:pPr>
        <w:pStyle w:val="Ttulo3"/>
        <w:rPr>
          <w:lang w:val="es-MX"/>
        </w:rPr>
      </w:pPr>
      <w:bookmarkStart w:id="61" w:name="_Toc239440918"/>
      <w:r w:rsidRPr="00C75B3F">
        <w:rPr>
          <w:lang w:val="es-MX"/>
        </w:rPr>
        <w:t>Instrucciones, tipos de rúbrica y criterios</w:t>
      </w:r>
      <w:bookmarkEnd w:id="61"/>
    </w:p>
    <w:p w14:paraId="015A673A" w14:textId="77777777" w:rsidR="00C75B3F" w:rsidRPr="00C75B3F" w:rsidRDefault="00C75B3F" w:rsidP="00C75B3F">
      <w:pPr>
        <w:rPr>
          <w:lang w:val="es-MX"/>
        </w:rPr>
      </w:pPr>
      <w:r w:rsidRPr="00C75B3F">
        <w:rPr>
          <w:lang w:val="es-MX"/>
        </w:rPr>
        <w:t>Las instrucciones deben indicar propósito, producto, proceso, recursos y reglas de uso. Expresiones como se permite inteligencia artificial son insuficientes. Conviene especificar herramientas, etapas, datos prohibidos, forma de declaración y capacidades que deben demostrarse sin apoyo. También se explica qué ocurre ante fallos técnicos. Las normas se vinculan con el resultado. En una actividad de crítica, puede utilizarse un modelo como objeto de análisis. En una prueba de conocimiento básico, puede restringirse. Los estudiantes necesitan ejemplos de declaraciones aceptables y tiempo para preguntar. La claridad reduce desigualdad y evita convertir la integridad en adivinación (Miao &amp; Holmes, 2023; UNESCO IESALC, 2023).</w:t>
      </w:r>
    </w:p>
    <w:p w14:paraId="0436DB04" w14:textId="77777777" w:rsidR="00C75B3F" w:rsidRPr="00C75B3F" w:rsidRDefault="00C75B3F" w:rsidP="00C75B3F">
      <w:pPr>
        <w:rPr>
          <w:lang w:val="es-MX"/>
        </w:rPr>
      </w:pPr>
      <w:r w:rsidRPr="00C75B3F">
        <w:rPr>
          <w:lang w:val="es-MX"/>
        </w:rPr>
        <w:t>Una rúbrica analítica separa criterios y niveles; una holística emite un juicio global. Las analíticas ofrecen diagnóstico y consistencia, pero pueden fragmentar un desempeño. Las holísticas respetan integración, aunque exigen experiencia y aportan menos detalle. La elección depende del propósito. Para aprendizaje, una rúbrica analítica facilita retroalimentación; para selección rápida de productos, una holística puede ser suficiente. También existen listas de cotejo para requisitos presentes o ausentes. La inteligencia artificial puede aplicar descriptores, pero debe evitar sumar mecánicamente cuando los criterios interactúan. El docente conserva la capacidad de justificar una decisión global diferente y documenta la razón (Brookhart, 2013; Panadero &amp; Jonsson, 2013).</w:t>
      </w:r>
    </w:p>
    <w:p w14:paraId="477CCBBF" w14:textId="77777777" w:rsidR="00C75B3F" w:rsidRPr="00C75B3F" w:rsidRDefault="00C75B3F" w:rsidP="00C75B3F">
      <w:pPr>
        <w:rPr>
          <w:lang w:val="es-MX"/>
        </w:rPr>
      </w:pPr>
      <w:r w:rsidRPr="00C75B3F">
        <w:rPr>
          <w:lang w:val="es-MX"/>
        </w:rPr>
        <w:t>Los criterios describen dimensiones relevantes, no partes superficiales. En un ensayo pueden incluir calidad de tesis, uso de evidencia, razonamiento, organización y transparencia metodológica. La gramática recibe un peso acorde con el resultado. En un proyecto con inteligencia artificial, se pueden valorar selección de herramienta, verificación, protección de datos y justificación. No conviene crear un criterio genérico de uso de IA que premie cantidad. La decisión de no utilizarla puede ser competente. Cada criterio debe ser distinguible y observable. Un número excesivo aumenta carga y produce puntuaciones poco interpretables. Entre cuatro y siete criterios suelen permitir atención, aunque la complejidad del desempeño determina la decisión (Brookhart, 2013; Miao et al., 2024).</w:t>
      </w:r>
    </w:p>
    <w:p w14:paraId="19A13291" w14:textId="5EFB66CB" w:rsidR="00C75B3F" w:rsidRPr="00C75B3F" w:rsidRDefault="00C75B3F" w:rsidP="0006103B">
      <w:pPr>
        <w:pStyle w:val="Ttulo3"/>
        <w:rPr>
          <w:lang w:val="es-MX"/>
        </w:rPr>
      </w:pPr>
      <w:bookmarkStart w:id="62" w:name="_Toc239440919"/>
      <w:r w:rsidRPr="00C75B3F">
        <w:rPr>
          <w:lang w:val="es-MX"/>
        </w:rPr>
        <w:lastRenderedPageBreak/>
        <w:t>Descriptores, ejemplos ancla y ponderación</w:t>
      </w:r>
      <w:bookmarkEnd w:id="62"/>
    </w:p>
    <w:p w14:paraId="581DA689" w14:textId="77777777" w:rsidR="00C75B3F" w:rsidRPr="00C75B3F" w:rsidRDefault="00C75B3F" w:rsidP="00C75B3F">
      <w:pPr>
        <w:rPr>
          <w:lang w:val="es-MX"/>
        </w:rPr>
      </w:pPr>
      <w:r w:rsidRPr="00C75B3F">
        <w:rPr>
          <w:lang w:val="es-MX"/>
        </w:rPr>
        <w:t>Los descriptores expresan calidad mediante rasgos observables. Palabras como excelente, adecuado o pobre necesitan explicación. Un descriptor sólido indica qué hace el trabajo, con qué consistencia y efecto. Debe evitar contar elementos cuando la calidad importa. También evita mezclar varios rasgos que podrían aparecer por separado. La progresión entre niveles representa desarrollo, no simple ausencia. Los modelos generativos pueden producir escalas simétricas pero vacías. El equipo docente revisa descriptores con trabajos reales y los ajusta. La rúbrica debe utilizar lenguaje comprensible para estudiantes sin perder precisión disciplinar (Brookhart, 2013; Panadero &amp; Jonsson, 2013).</w:t>
      </w:r>
    </w:p>
    <w:p w14:paraId="048AC903" w14:textId="77777777" w:rsidR="00C75B3F" w:rsidRPr="00C75B3F" w:rsidRDefault="00C75B3F" w:rsidP="00C75B3F">
      <w:pPr>
        <w:rPr>
          <w:lang w:val="es-MX"/>
        </w:rPr>
      </w:pPr>
      <w:r w:rsidRPr="00C75B3F">
        <w:rPr>
          <w:lang w:val="es-MX"/>
        </w:rPr>
        <w:t>Los ejemplos ancla representan niveles y ayudan a interpretar rúbricas. Se seleccionan después de aplicar criterios, no por impresión general. Pueden ser trabajos reales con consentimiento o ejemplos construidos. Los generados por inteligencia artificial necesitan revisión y deben declararse. Un ancla no define la única forma correcta. Conviene mostrar variedad dentro del mismo nivel y discutir por qué cumple. En calibración, varios evaluadores puntúan, comparan razones y acuerdan interpretación. Las discrepancias revelan descriptores ambiguos o necesidades de formación. Los anclajes también permiten que estudiantes practiquen autoevaluación antes de producir (Sadler, 1989; Panadero &amp; Jonsson, 2013).</w:t>
      </w:r>
    </w:p>
    <w:p w14:paraId="5B4E3980" w14:textId="77777777" w:rsidR="00C75B3F" w:rsidRPr="00C75B3F" w:rsidRDefault="00C75B3F" w:rsidP="00C75B3F">
      <w:pPr>
        <w:rPr>
          <w:lang w:val="es-MX"/>
        </w:rPr>
      </w:pPr>
      <w:r w:rsidRPr="00C75B3F">
        <w:rPr>
          <w:lang w:val="es-MX"/>
        </w:rPr>
        <w:t>La ponderación comunica prioridades. Asignar muchos puntos a presentación puede desplazar atención del razonamiento. Los pesos deben corresponder a resultados y no a la facilidad de medición. Un criterio crítico puede requerir un nivel mínimo, aunque la suma total sea alta. Por ejemplo, una práctica clínica insegura no se compensa con buena redacción. Las rúbricas deben reflejar estas reglas. Si un sistema calcula la nota, su lógica debe ser visible y reproducible. No se deben introducir ajustes automáticos basados en perfiles. Los cambios de ponderación se anuncian antes de la tarea y se documentan (AERA et al., 2014; Brookhart, 2013).</w:t>
      </w:r>
    </w:p>
    <w:p w14:paraId="6300D34B" w14:textId="55465484" w:rsidR="00C75B3F" w:rsidRPr="00C75B3F" w:rsidRDefault="00C75B3F" w:rsidP="00C75B3F">
      <w:pPr>
        <w:rPr>
          <w:lang w:val="es-MX"/>
        </w:rPr>
      </w:pPr>
      <w:r w:rsidRPr="00C75B3F">
        <w:rPr>
          <w:b/>
          <w:bCs/>
          <w:lang w:val="es-MX"/>
        </w:rPr>
        <w:t xml:space="preserve">Tabla </w:t>
      </w:r>
      <w:r w:rsidR="00FA6F60">
        <w:rPr>
          <w:b/>
          <w:bCs/>
          <w:lang w:val="es-MX"/>
        </w:rPr>
        <w:t>3</w:t>
      </w:r>
      <w:r w:rsidRPr="00C75B3F">
        <w:rPr>
          <w:b/>
          <w:bCs/>
          <w:lang w:val="es-MX"/>
        </w:rPr>
        <w:t>.3. Componentes de una rúbrica analítica</w:t>
      </w:r>
    </w:p>
    <w:tbl>
      <w:tblPr>
        <w:tblStyle w:val="Tablanormal2"/>
        <w:tblW w:w="8392" w:type="dxa"/>
        <w:tblLook w:val="04A0" w:firstRow="1" w:lastRow="0" w:firstColumn="1" w:lastColumn="0" w:noHBand="0" w:noVBand="1"/>
      </w:tblPr>
      <w:tblGrid>
        <w:gridCol w:w="2098"/>
        <w:gridCol w:w="2098"/>
        <w:gridCol w:w="2098"/>
        <w:gridCol w:w="2098"/>
      </w:tblGrid>
      <w:tr w:rsidR="00C75B3F" w:rsidRPr="00C75B3F" w14:paraId="3543B623" w14:textId="77777777" w:rsidTr="00061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1B6BE63" w14:textId="77777777" w:rsidR="00C75B3F" w:rsidRPr="0006103B" w:rsidRDefault="00C75B3F" w:rsidP="0006103B">
            <w:pPr>
              <w:spacing w:before="0" w:after="0" w:line="240" w:lineRule="auto"/>
              <w:jc w:val="center"/>
              <w:rPr>
                <w:sz w:val="20"/>
                <w:szCs w:val="20"/>
                <w:lang w:val="es-MX"/>
              </w:rPr>
            </w:pPr>
            <w:r w:rsidRPr="0006103B">
              <w:rPr>
                <w:sz w:val="20"/>
                <w:szCs w:val="20"/>
                <w:lang w:val="es-MX"/>
              </w:rPr>
              <w:t>Componente</w:t>
            </w:r>
          </w:p>
        </w:tc>
        <w:tc>
          <w:tcPr>
            <w:tcW w:w="2098" w:type="dxa"/>
            <w:vAlign w:val="center"/>
            <w:hideMark/>
          </w:tcPr>
          <w:p w14:paraId="4AB2A325" w14:textId="77777777" w:rsidR="00C75B3F" w:rsidRPr="0006103B" w:rsidRDefault="00C75B3F" w:rsidP="0006103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Función</w:t>
            </w:r>
          </w:p>
        </w:tc>
        <w:tc>
          <w:tcPr>
            <w:tcW w:w="2098" w:type="dxa"/>
            <w:vAlign w:val="center"/>
            <w:hideMark/>
          </w:tcPr>
          <w:p w14:paraId="4229B1B6" w14:textId="77777777" w:rsidR="00C75B3F" w:rsidRPr="0006103B" w:rsidRDefault="00C75B3F" w:rsidP="0006103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Pregunta de control</w:t>
            </w:r>
          </w:p>
        </w:tc>
        <w:tc>
          <w:tcPr>
            <w:tcW w:w="2098" w:type="dxa"/>
            <w:vAlign w:val="center"/>
            <w:hideMark/>
          </w:tcPr>
          <w:p w14:paraId="549362D7" w14:textId="77777777" w:rsidR="00C75B3F" w:rsidRPr="0006103B" w:rsidRDefault="00C75B3F" w:rsidP="0006103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Error frecuente</w:t>
            </w:r>
          </w:p>
        </w:tc>
      </w:tr>
      <w:tr w:rsidR="00C75B3F" w:rsidRPr="00C75B3F" w14:paraId="2989DF9E"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1AF2300" w14:textId="77777777" w:rsidR="00C75B3F" w:rsidRPr="0006103B" w:rsidRDefault="00C75B3F" w:rsidP="0006103B">
            <w:pPr>
              <w:spacing w:before="0" w:after="0" w:line="240" w:lineRule="auto"/>
              <w:rPr>
                <w:sz w:val="20"/>
                <w:szCs w:val="20"/>
                <w:lang w:val="es-MX"/>
              </w:rPr>
            </w:pPr>
            <w:r w:rsidRPr="0006103B">
              <w:rPr>
                <w:sz w:val="20"/>
                <w:szCs w:val="20"/>
                <w:lang w:val="es-MX"/>
              </w:rPr>
              <w:t>Criterio</w:t>
            </w:r>
          </w:p>
        </w:tc>
        <w:tc>
          <w:tcPr>
            <w:tcW w:w="2098" w:type="dxa"/>
            <w:vAlign w:val="center"/>
            <w:hideMark/>
          </w:tcPr>
          <w:p w14:paraId="36DE7903"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Representa una dimensión relevante</w:t>
            </w:r>
          </w:p>
        </w:tc>
        <w:tc>
          <w:tcPr>
            <w:tcW w:w="2098" w:type="dxa"/>
            <w:vAlign w:val="center"/>
            <w:hideMark/>
          </w:tcPr>
          <w:p w14:paraId="0FD542E9"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¿Se relaciona con el resultado?</w:t>
            </w:r>
          </w:p>
        </w:tc>
        <w:tc>
          <w:tcPr>
            <w:tcW w:w="2098" w:type="dxa"/>
            <w:vAlign w:val="center"/>
            <w:hideMark/>
          </w:tcPr>
          <w:p w14:paraId="03748E75"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Valorar aspectos superficiales</w:t>
            </w:r>
          </w:p>
        </w:tc>
      </w:tr>
      <w:tr w:rsidR="00C75B3F" w:rsidRPr="00C75B3F" w14:paraId="74753F59"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9548452" w14:textId="77777777" w:rsidR="00C75B3F" w:rsidRPr="0006103B" w:rsidRDefault="00C75B3F" w:rsidP="0006103B">
            <w:pPr>
              <w:spacing w:before="0" w:after="0" w:line="240" w:lineRule="auto"/>
              <w:rPr>
                <w:sz w:val="20"/>
                <w:szCs w:val="20"/>
                <w:lang w:val="es-MX"/>
              </w:rPr>
            </w:pPr>
            <w:r w:rsidRPr="0006103B">
              <w:rPr>
                <w:sz w:val="20"/>
                <w:szCs w:val="20"/>
                <w:lang w:val="es-MX"/>
              </w:rPr>
              <w:t>Descriptor</w:t>
            </w:r>
          </w:p>
        </w:tc>
        <w:tc>
          <w:tcPr>
            <w:tcW w:w="2098" w:type="dxa"/>
            <w:vAlign w:val="center"/>
            <w:hideMark/>
          </w:tcPr>
          <w:p w14:paraId="2A65020D"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Expresa calidad observable</w:t>
            </w:r>
          </w:p>
        </w:tc>
        <w:tc>
          <w:tcPr>
            <w:tcW w:w="2098" w:type="dxa"/>
            <w:vAlign w:val="center"/>
            <w:hideMark/>
          </w:tcPr>
          <w:p w14:paraId="000C7269"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¿Distingue niveles con claridad?</w:t>
            </w:r>
          </w:p>
        </w:tc>
        <w:tc>
          <w:tcPr>
            <w:tcW w:w="2098" w:type="dxa"/>
            <w:vAlign w:val="center"/>
            <w:hideMark/>
          </w:tcPr>
          <w:p w14:paraId="788DD6C5"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Usar adjetivos sin evidencia</w:t>
            </w:r>
          </w:p>
        </w:tc>
      </w:tr>
      <w:tr w:rsidR="00C75B3F" w:rsidRPr="00C75B3F" w14:paraId="77EC0F00"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10C23A8" w14:textId="77777777" w:rsidR="00C75B3F" w:rsidRPr="0006103B" w:rsidRDefault="00C75B3F" w:rsidP="0006103B">
            <w:pPr>
              <w:spacing w:before="0" w:after="0" w:line="240" w:lineRule="auto"/>
              <w:rPr>
                <w:sz w:val="20"/>
                <w:szCs w:val="20"/>
                <w:lang w:val="es-MX"/>
              </w:rPr>
            </w:pPr>
            <w:r w:rsidRPr="0006103B">
              <w:rPr>
                <w:sz w:val="20"/>
                <w:szCs w:val="20"/>
                <w:lang w:val="es-MX"/>
              </w:rPr>
              <w:t>Ponderación</w:t>
            </w:r>
          </w:p>
        </w:tc>
        <w:tc>
          <w:tcPr>
            <w:tcW w:w="2098" w:type="dxa"/>
            <w:vAlign w:val="center"/>
            <w:hideMark/>
          </w:tcPr>
          <w:p w14:paraId="59C0B447"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Comunica prioridades</w:t>
            </w:r>
          </w:p>
        </w:tc>
        <w:tc>
          <w:tcPr>
            <w:tcW w:w="2098" w:type="dxa"/>
            <w:vAlign w:val="center"/>
            <w:hideMark/>
          </w:tcPr>
          <w:p w14:paraId="50D0F63D"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¿Refleja la importancia real?</w:t>
            </w:r>
          </w:p>
        </w:tc>
        <w:tc>
          <w:tcPr>
            <w:tcW w:w="2098" w:type="dxa"/>
            <w:vAlign w:val="center"/>
            <w:hideMark/>
          </w:tcPr>
          <w:p w14:paraId="7B8351F5"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Asignar peso por facilidad de medición</w:t>
            </w:r>
          </w:p>
        </w:tc>
      </w:tr>
      <w:tr w:rsidR="00C75B3F" w:rsidRPr="00C75B3F" w14:paraId="58DC7F7E" w14:textId="77777777" w:rsidTr="0006103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6085B87" w14:textId="77777777" w:rsidR="00C75B3F" w:rsidRPr="0006103B" w:rsidRDefault="00C75B3F" w:rsidP="0006103B">
            <w:pPr>
              <w:spacing w:before="0" w:after="0" w:line="240" w:lineRule="auto"/>
              <w:rPr>
                <w:sz w:val="20"/>
                <w:szCs w:val="20"/>
                <w:lang w:val="es-MX"/>
              </w:rPr>
            </w:pPr>
            <w:r w:rsidRPr="0006103B">
              <w:rPr>
                <w:sz w:val="20"/>
                <w:szCs w:val="20"/>
                <w:lang w:val="es-MX"/>
              </w:rPr>
              <w:t>Ejemplo ancla</w:t>
            </w:r>
          </w:p>
        </w:tc>
        <w:tc>
          <w:tcPr>
            <w:tcW w:w="2098" w:type="dxa"/>
            <w:vAlign w:val="center"/>
            <w:hideMark/>
          </w:tcPr>
          <w:p w14:paraId="79AC0C80"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Ayuda a interpretar el nivel</w:t>
            </w:r>
          </w:p>
        </w:tc>
        <w:tc>
          <w:tcPr>
            <w:tcW w:w="2098" w:type="dxa"/>
            <w:vAlign w:val="center"/>
            <w:hideMark/>
          </w:tcPr>
          <w:p w14:paraId="58688F1F"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¿Fue validado con los criterios?</w:t>
            </w:r>
          </w:p>
        </w:tc>
        <w:tc>
          <w:tcPr>
            <w:tcW w:w="2098" w:type="dxa"/>
            <w:vAlign w:val="center"/>
            <w:hideMark/>
          </w:tcPr>
          <w:p w14:paraId="3E478595"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Elegirlo solo por impresión general</w:t>
            </w:r>
          </w:p>
        </w:tc>
      </w:tr>
    </w:tbl>
    <w:p w14:paraId="1E13E0DD" w14:textId="77777777" w:rsidR="00C75B3F" w:rsidRPr="00C75B3F" w:rsidRDefault="00C75B3F" w:rsidP="00C75B3F">
      <w:pPr>
        <w:rPr>
          <w:lang w:val="es-MX"/>
        </w:rPr>
      </w:pPr>
      <w:r w:rsidRPr="00C75B3F">
        <w:rPr>
          <w:i/>
          <w:iCs/>
          <w:lang w:val="es-MX"/>
        </w:rPr>
        <w:t>Fuente: elaboración propia a partir de las referencias citadas en el apartado.</w:t>
      </w:r>
    </w:p>
    <w:p w14:paraId="7BA63AD3" w14:textId="45A8AF59" w:rsidR="00C75B3F" w:rsidRPr="00C75B3F" w:rsidRDefault="00C75B3F" w:rsidP="0006103B">
      <w:pPr>
        <w:pStyle w:val="Ttulo3"/>
        <w:rPr>
          <w:lang w:val="es-MX"/>
        </w:rPr>
      </w:pPr>
      <w:bookmarkStart w:id="63" w:name="_Toc239440920"/>
      <w:r w:rsidRPr="00C75B3F">
        <w:rPr>
          <w:lang w:val="es-MX"/>
        </w:rPr>
        <w:lastRenderedPageBreak/>
        <w:t>Inclusión, evaluación programática y declaración de uso</w:t>
      </w:r>
      <w:bookmarkEnd w:id="63"/>
    </w:p>
    <w:p w14:paraId="332BA7DD" w14:textId="77777777" w:rsidR="00C75B3F" w:rsidRPr="00C75B3F" w:rsidRDefault="00C75B3F" w:rsidP="00C75B3F">
      <w:pPr>
        <w:rPr>
          <w:lang w:val="es-MX"/>
        </w:rPr>
      </w:pPr>
      <w:r w:rsidRPr="00C75B3F">
        <w:rPr>
          <w:lang w:val="es-MX"/>
        </w:rPr>
        <w:t>El diseño inclusivo permite demostrar el mismo constructo mediante condiciones accesibles. Ajustar formato, tiempo o tecnología no reduce necesariamente el estándar. El análisis distingue demandas relevantes de barreras incidentales. Si el resultado es razonamiento histórico, la velocidad de escritura quizá no sea central. Las herramientas de apoyo, incluida inteligencia artificial, pueden ser ajustes cuando compensan una barrera, pero también cambian el constructo si realizan la capacidad evaluada. Las decisiones deben individualizarse, respetar normas y evitar revelar información sensible. El Diseño Universal para el Aprendizaje ayuda a ofrecer opciones desde el inicio, mientras la validez exige comprobar equivalencia de interpretación (CAST, 2024; AERA et al., 2014).</w:t>
      </w:r>
    </w:p>
    <w:p w14:paraId="2CD3A2D3" w14:textId="77777777" w:rsidR="00C75B3F" w:rsidRPr="00C75B3F" w:rsidRDefault="00C75B3F" w:rsidP="00C75B3F">
      <w:pPr>
        <w:rPr>
          <w:lang w:val="es-MX"/>
        </w:rPr>
      </w:pPr>
      <w:r w:rsidRPr="00C75B3F">
        <w:rPr>
          <w:lang w:val="es-MX"/>
        </w:rPr>
        <w:t xml:space="preserve">La evaluación programática distribuye evidencias a lo largo del currículo. Ninguna tarea representa por completo una competencia compleja. Se combinan exámenes, proyectos, prácticas, observaciones, portafolios y defensas. Las decisiones importantes se basan en patrones y no en un único algoritmo. La inteligencia artificial puede organizar evidencias y detectar vacíos, pero no reemplaza deliberación. Un comité revisa el conjunto, considera contexto y documenta razones. Esta arquitectura reduce efectos de un error aislado y permite observar crecimiento. También disminuye incentivos para resolver una única tarea mediante asistencia no declarada. La carga debe planificarse para estudiantes y docentes (Boud &amp; </w:t>
      </w:r>
      <w:proofErr w:type="spellStart"/>
      <w:r w:rsidRPr="00C75B3F">
        <w:rPr>
          <w:lang w:val="es-MX"/>
        </w:rPr>
        <w:t>Falchikov</w:t>
      </w:r>
      <w:proofErr w:type="spellEnd"/>
      <w:r w:rsidRPr="00C75B3F">
        <w:rPr>
          <w:lang w:val="es-MX"/>
        </w:rPr>
        <w:t>, 2007; Dawson, 2021).</w:t>
      </w:r>
    </w:p>
    <w:p w14:paraId="4E1A54D0" w14:textId="77777777" w:rsidR="00C75B3F" w:rsidRPr="00C75B3F" w:rsidRDefault="00C75B3F" w:rsidP="00C75B3F">
      <w:pPr>
        <w:rPr>
          <w:lang w:val="es-MX"/>
        </w:rPr>
      </w:pPr>
      <w:r w:rsidRPr="00C75B3F">
        <w:rPr>
          <w:lang w:val="es-MX"/>
        </w:rPr>
        <w:t>El muestreo de tareas determina qué parte del dominio se observa. Una prueba corta puede ser confiable pero representar poco contenido. La inteligencia artificial facilita generar variantes, aunque la equivalencia necesita evidencia. Cambiar nombres o cifras no crea automáticamente la misma dificultad. Se revisan demanda cognitiva, conocimientos requeridos y oportunidades de respuesta. En bancos grandes, el análisis estadístico identifica ítems anómalos, pero las decisiones combinan contenido y datos. La seguridad no debe sacrificar accesibilidad. Las tareas se renuevan de manera planificada y se retiran cuando se exponen o pierden pertinencia (Downing, 2006; AERA et al., 2014).</w:t>
      </w:r>
    </w:p>
    <w:p w14:paraId="6334996F" w14:textId="77777777" w:rsidR="00C75B3F" w:rsidRPr="00C75B3F" w:rsidRDefault="00C75B3F" w:rsidP="00C75B3F">
      <w:pPr>
        <w:rPr>
          <w:lang w:val="es-MX"/>
        </w:rPr>
      </w:pPr>
      <w:r w:rsidRPr="00C75B3F">
        <w:rPr>
          <w:lang w:val="es-MX"/>
        </w:rPr>
        <w:t>La declaración de uso de inteligencia artificial puede integrarse en el instrumento. Debe pedir información necesaria, como herramienta, propósito, partes afectadas y verificación. No necesita recopilar conversaciones completas. Una nota breve, una bitácora o una tabla de decisiones puede ser suficiente. La declaración se evalúa por transparencia y juicio, no por haber utilizado más o menos. Las reglas deben proteger datos y reconocer que algunos servicios no conservan historial. El objetivo es atribuir contribuciones, comprender el proceso y apoyar aprendizaje. Utilizar la declaración como prueba automática de culpabilidad destruye su sentido formativo (Miao &amp; Holmes, 2023; UNESCO IESALC, 2023).</w:t>
      </w:r>
    </w:p>
    <w:p w14:paraId="73EF2A69" w14:textId="7A99773F" w:rsidR="00C75B3F" w:rsidRPr="00C75B3F" w:rsidRDefault="00C75B3F" w:rsidP="0006103B">
      <w:pPr>
        <w:pStyle w:val="Ttulo3"/>
        <w:rPr>
          <w:lang w:val="es-MX"/>
        </w:rPr>
      </w:pPr>
      <w:bookmarkStart w:id="64" w:name="_Toc239440921"/>
      <w:r w:rsidRPr="00C75B3F">
        <w:rPr>
          <w:lang w:val="es-MX"/>
        </w:rPr>
        <w:lastRenderedPageBreak/>
        <w:t>Detectores, pilotaje, revisión y participación estudiantil</w:t>
      </w:r>
      <w:bookmarkEnd w:id="64"/>
    </w:p>
    <w:p w14:paraId="393AFE59" w14:textId="77777777" w:rsidR="00C75B3F" w:rsidRPr="00C75B3F" w:rsidRDefault="00C75B3F" w:rsidP="00C75B3F">
      <w:pPr>
        <w:rPr>
          <w:lang w:val="es-MX"/>
        </w:rPr>
      </w:pPr>
      <w:r w:rsidRPr="00C75B3F">
        <w:rPr>
          <w:lang w:val="es-MX"/>
        </w:rPr>
        <w:t>Los detectores de texto generado no ofrecen evidencia suficiente para sancionar. Sus tasas de error varían, pueden afectar más a escritores que usan una segunda lengua y son vulnerables a cambios de estilo. Una puntuación no demuestra autoría. Las instituciones deben priorizar diseño auténtico, evidencias del proceso, diálogo y reglas claras. Si surge una preocupación, se revisan versiones, fuentes y comprensión, y se aplica el debido proceso. La herramienta, si se utiliza, solo puede funcionar como señal preliminar cuidadosamente interpretada. No debe transformar la relación educativa en vigilancia general. La carga de probar una falta corresponde a procedimientos institucionales y no a una probabilidad opaca (Miao &amp; Holmes, 2023; Weber-Wulff et al., 2023).</w:t>
      </w:r>
    </w:p>
    <w:p w14:paraId="273C6E15" w14:textId="77777777" w:rsidR="00C75B3F" w:rsidRPr="00C75B3F" w:rsidRDefault="00C75B3F" w:rsidP="00C75B3F">
      <w:pPr>
        <w:rPr>
          <w:lang w:val="es-MX"/>
        </w:rPr>
      </w:pPr>
      <w:r w:rsidRPr="00C75B3F">
        <w:rPr>
          <w:lang w:val="es-MX"/>
        </w:rPr>
        <w:t>El pilotaje permite identificar ambigüedades, carga y problemas de acceso. Un grupo pequeño realiza la tarea, piensa en voz alta o responde preguntas sobre interpretación. El docente observa tiempos, estrategias y uso de herramientas. Después revisa resultados por grupos y criterios. La inteligencia artificial puede ayudar a resumir incidencias, pero la decisión se basa en evidencia completa. Los cambios se documentan. En instrumentos de alto impacto se requiere una muestra adecuada y análisis profesional. Un piloto no busca demostrar que el diseño funciona, sino descubrir condiciones de fallo antes de afectar a toda la cohorte (Downing, 2006; Kane, 2013).</w:t>
      </w:r>
    </w:p>
    <w:p w14:paraId="5457D59F" w14:textId="77777777" w:rsidR="00C75B3F" w:rsidRPr="00C75B3F" w:rsidRDefault="00C75B3F" w:rsidP="00C75B3F">
      <w:pPr>
        <w:rPr>
          <w:lang w:val="es-MX"/>
        </w:rPr>
      </w:pPr>
      <w:r w:rsidRPr="00C75B3F">
        <w:rPr>
          <w:lang w:val="es-MX"/>
        </w:rPr>
        <w:t>La revisión posterior cierra el diseño. Se analizan distribución, discrepancias, comentarios, apelaciones y consecuencias. Los ítems con comportamiento inesperado se examinan antes de eliminar. Una pregunta puede ser difícil porque mide aprendizaje avanzado o porque está mal redactada. Las rúbricas se ajustan cuando evaluadores interpretan de forma inconsistente. También se observa si la evaluación cambió hábitos de estudio, colaboración o uso de inteligencia artificial. Efectos no previstos forman parte de la validez. El instrumento se conserva con versión, fecha, responsables y decisiones. Esta documentación convierte la evaluación en una práctica investigativa y mejora coherencia institucional (AERA et al., 2014; Kane, 2013).</w:t>
      </w:r>
    </w:p>
    <w:p w14:paraId="48AB253B" w14:textId="77777777" w:rsidR="00C75B3F" w:rsidRPr="00C75B3F" w:rsidRDefault="00C75B3F" w:rsidP="00C75B3F">
      <w:pPr>
        <w:rPr>
          <w:lang w:val="es-MX"/>
        </w:rPr>
      </w:pPr>
      <w:r w:rsidRPr="00C75B3F">
        <w:rPr>
          <w:lang w:val="es-MX"/>
        </w:rPr>
        <w:t xml:space="preserve">La participación estudiantil en el diseño aumenta comprensión de criterios. El docente puede presentar el resultado y varios trabajos, y pedir al grupo que identifique rasgos de calidad. Después contrasta las propuestas con estándares disciplinares y construye una versión final de la rúbrica. La inteligencia artificial puede organizar ideas o señalar redundancias, pero no decide prioridades. La </w:t>
      </w:r>
      <w:proofErr w:type="spellStart"/>
      <w:r w:rsidRPr="00C75B3F">
        <w:rPr>
          <w:lang w:val="es-MX"/>
        </w:rPr>
        <w:t>coelaboración</w:t>
      </w:r>
      <w:proofErr w:type="spellEnd"/>
      <w:r w:rsidRPr="00C75B3F">
        <w:rPr>
          <w:lang w:val="es-MX"/>
        </w:rPr>
        <w:t xml:space="preserve"> no significa que todo criterio sea negociable, especialmente cuando existen requisitos profesionales o de seguridad. Su valor reside en hacer explícitas las razones y el lenguaje. El proceso también permite identificar términos inaccesibles antes de la evaluación. Participar en los criterios fortalece juicio y responsabilidad (Panadero &amp; Jonsson, 2013; Sadler, 1989).</w:t>
      </w:r>
    </w:p>
    <w:p w14:paraId="68C0148F" w14:textId="655F8E17" w:rsidR="00C75B3F" w:rsidRPr="00C75B3F" w:rsidRDefault="00C75B3F" w:rsidP="0006103B">
      <w:pPr>
        <w:pStyle w:val="Ttulo2"/>
        <w:rPr>
          <w:lang w:val="es-MX"/>
        </w:rPr>
      </w:pPr>
      <w:bookmarkStart w:id="65" w:name="_Toc239440922"/>
      <w:r w:rsidRPr="00C75B3F">
        <w:rPr>
          <w:lang w:val="es-MX"/>
        </w:rPr>
        <w:lastRenderedPageBreak/>
        <w:t>Validez, sesgos y supervisión humana</w:t>
      </w:r>
      <w:bookmarkEnd w:id="65"/>
    </w:p>
    <w:p w14:paraId="2BE1A0C5" w14:textId="76DF2F22" w:rsidR="00C75B3F" w:rsidRPr="00C75B3F" w:rsidRDefault="00C75B3F" w:rsidP="0006103B">
      <w:pPr>
        <w:pStyle w:val="Ttulo3"/>
        <w:rPr>
          <w:lang w:val="es-MX"/>
        </w:rPr>
      </w:pPr>
      <w:bookmarkStart w:id="66" w:name="_Toc239440923"/>
      <w:r w:rsidRPr="00C75B3F">
        <w:rPr>
          <w:lang w:val="es-MX"/>
        </w:rPr>
        <w:t>Validez, representatividad y confiabilidad</w:t>
      </w:r>
      <w:bookmarkEnd w:id="66"/>
    </w:p>
    <w:p w14:paraId="09E171D9" w14:textId="77777777" w:rsidR="00C75B3F" w:rsidRPr="00C75B3F" w:rsidRDefault="00C75B3F" w:rsidP="00C75B3F">
      <w:pPr>
        <w:rPr>
          <w:lang w:val="es-MX"/>
        </w:rPr>
      </w:pPr>
      <w:r w:rsidRPr="00C75B3F">
        <w:rPr>
          <w:lang w:val="es-MX"/>
        </w:rPr>
        <w:t>La validez se refiere al grado en que la evidencia y la teoría respaldan las interpretaciones y usos de puntuaciones. No es una propiedad permanente del instrumento. Una prueba puede ser adecuada para ofrecer práctica y no para certificar competencia. Un modelo automático puede concordar con docentes en una muestra y fallar al cambiar población o tarea. El argumento de validez explica cómo se pasa de respuesta a puntuación, de puntuación a dominio y de dominio a decisión. En cada paso se identifican supuestos y evidencias. La inteligencia artificial añade preguntas sobre datos de entrenamiento, estabilidad, explicación y supervisión (AERA et al., 2014; Kane, 2013).</w:t>
      </w:r>
    </w:p>
    <w:p w14:paraId="28D941DD" w14:textId="77777777" w:rsidR="00C75B3F" w:rsidRPr="00C75B3F" w:rsidRDefault="00C75B3F" w:rsidP="00C75B3F">
      <w:pPr>
        <w:rPr>
          <w:lang w:val="es-MX"/>
        </w:rPr>
      </w:pPr>
      <w:r w:rsidRPr="00C75B3F">
        <w:rPr>
          <w:lang w:val="es-MX"/>
        </w:rPr>
        <w:t>La representatividad del constructo examina si las tareas cubren la capacidad. Evaluar escritura mediante rasgos fáciles de contar puede omitir originalidad, razonamiento y adecuación. Evaluar desempeño profesional solo con preguntas cerradas reduce el dominio. La automatización tiende a favorecer lo que puede codificarse. El diseño debe resistir esa reducción y combinar métodos. También existe variación irrelevante, cuando idioma, interfaz, velocidad o familiaridad tecnológica afectan resultados sin formar parte del objetivo. Las pruebas de usabilidad y accesibilidad ayudan a detectarla. La pregunta no es si el sistema mide algo consistentemente, sino si ese algo corresponde a la interpretación deseada (Messick, 1989; AERA et al., 2014).</w:t>
      </w:r>
    </w:p>
    <w:p w14:paraId="31C07F52" w14:textId="77777777" w:rsidR="00C75B3F" w:rsidRPr="00C75B3F" w:rsidRDefault="00C75B3F" w:rsidP="00C75B3F">
      <w:pPr>
        <w:rPr>
          <w:lang w:val="es-MX"/>
        </w:rPr>
      </w:pPr>
      <w:r w:rsidRPr="00C75B3F">
        <w:rPr>
          <w:lang w:val="es-MX"/>
        </w:rPr>
        <w:t>La confiabilidad describe consistencia de resultados bajo condiciones pertinentes. Puede estimarse entre ítems, momentos o evaluadores. Una puntuación automática idéntica es reproducible, pero no necesariamente correcta. Por el contrario, una tarea auténtica puede contener variación legítima que requiere múltiples evidencias. La meta no es eliminar todo juicio, sino controlar fuentes de error. Las rúbricas, calibración, muestreo y doble revisión fortalecen consistencia. Cuando se usa inteligencia artificial, se prueba repetición, sensibilidad a formato y cambios de versión. Si la misma respuesta recibe resultados diferentes, debe investigarse. La confiabilidad se interpreta junto con validez y consecuencias (AERA et al., 2014; Williamson et al., 2012).</w:t>
      </w:r>
    </w:p>
    <w:p w14:paraId="40E143EE" w14:textId="345D84A5" w:rsidR="00C75B3F" w:rsidRPr="00C75B3F" w:rsidRDefault="00C75B3F" w:rsidP="0006103B">
      <w:pPr>
        <w:pStyle w:val="Ttulo3"/>
        <w:rPr>
          <w:lang w:val="es-MX"/>
        </w:rPr>
      </w:pPr>
      <w:bookmarkStart w:id="67" w:name="_Toc239440924"/>
      <w:r w:rsidRPr="00C75B3F">
        <w:rPr>
          <w:lang w:val="es-MX"/>
        </w:rPr>
        <w:t>Concordancia, equidad e interacción de sesgos</w:t>
      </w:r>
      <w:bookmarkEnd w:id="67"/>
    </w:p>
    <w:p w14:paraId="1CF7E4D1" w14:textId="77777777" w:rsidR="00C75B3F" w:rsidRPr="00C75B3F" w:rsidRDefault="00C75B3F" w:rsidP="00C75B3F">
      <w:pPr>
        <w:rPr>
          <w:lang w:val="es-MX"/>
        </w:rPr>
      </w:pPr>
      <w:r w:rsidRPr="00C75B3F">
        <w:rPr>
          <w:lang w:val="es-MX"/>
        </w:rPr>
        <w:t xml:space="preserve">La concordancia entre máquina y humano es una evidencia limitada. Un alto porcentaje puede ocultar desacuerdos en grupos o niveles críticos. Además, los evaluadores humanos también presentan sesgos y no constituyen verdad absoluta. Se necesita una referencia construida mediante expertos, criterios y calibración. El análisis incluye magnitud y dirección de discrepancias, no solo correlación. Dos evaluadores pueden ordenar de forma semejante y asignar puntuaciones sistemáticamente distintas. Los casos de desacuerdo se leen cualitativamente para conocer qué </w:t>
      </w:r>
      <w:r w:rsidRPr="00C75B3F">
        <w:rPr>
          <w:lang w:val="es-MX"/>
        </w:rPr>
        <w:lastRenderedPageBreak/>
        <w:t>rasgo confunde al modelo. La automatización debe demostrar valor más allá de imitar, por ejemplo, mejorar oportunidad sin perder calidad (Williamson et al., 2012; Tabassi, 2023).</w:t>
      </w:r>
    </w:p>
    <w:p w14:paraId="6D11FA38" w14:textId="77777777" w:rsidR="00C75B3F" w:rsidRPr="00C75B3F" w:rsidRDefault="00C75B3F" w:rsidP="00C75B3F">
      <w:pPr>
        <w:rPr>
          <w:lang w:val="es-MX"/>
        </w:rPr>
      </w:pPr>
      <w:r w:rsidRPr="00C75B3F">
        <w:rPr>
          <w:lang w:val="es-MX"/>
        </w:rPr>
        <w:t>La equidad exige que las interpretaciones sean comparables y que los procedimientos no generen barreras injustificadas. Se analizan resultados por idioma, género, discapacidad, origen y otras variables pertinentes, con protección de datos. Las diferencias no prueban automáticamente sesgo, pero activan investigación. Puede existir funcionamiento diferencial cuando personas con capacidad similar tienen distinta probabilidad de responder correctamente. En tareas abiertas se revisa si el modelo penaliza dialectos, estilos o temas. La participación de comunidades afectadas aporta conocimiento que una métrica no captura. Corregir puede requerir cambiar ítems, datos, reglas, interfaz o uso. Algunas aplicaciones deben retirarse (UNESCO, 2021; Baker &amp; Hawn, 2022).</w:t>
      </w:r>
    </w:p>
    <w:p w14:paraId="65B91D71" w14:textId="77777777" w:rsidR="00C75B3F" w:rsidRPr="00C75B3F" w:rsidRDefault="00C75B3F" w:rsidP="00C75B3F">
      <w:pPr>
        <w:rPr>
          <w:lang w:val="es-MX"/>
        </w:rPr>
      </w:pPr>
      <w:r w:rsidRPr="00C75B3F">
        <w:rPr>
          <w:lang w:val="es-MX"/>
        </w:rPr>
        <w:t>Los sesgos humanos y algorítmicos interactúan. Un modelo aprende de puntuaciones históricas que contienen interpretaciones docentes. Después su salida puede reforzar esos patrones y parecer objetiva. La automatización también puede reducir ciertos sesgos al ocultar identidad o aplicar reglas consistentes. El efecto depende del diseño. Es insuficiente comparar máquina contra una única calificación humana. Se revisa proceso de etiquetado, diversidad de evaluadores y criterios. Los docentes necesitan conocer que la recomendación puede influirles por automatización. Una estrategia consiste en realizar un juicio inicial independiente antes de ver la sugerencia, o revisar especialmente casos cercanos al umbral (Baker &amp; Hawn, 2022; UNESCO, 2021).</w:t>
      </w:r>
    </w:p>
    <w:p w14:paraId="09AB75DC" w14:textId="7CA14635" w:rsidR="00C75B3F" w:rsidRPr="00C75B3F" w:rsidRDefault="00C75B3F" w:rsidP="0006103B">
      <w:pPr>
        <w:pStyle w:val="Ttulo3"/>
        <w:rPr>
          <w:lang w:val="es-MX"/>
        </w:rPr>
      </w:pPr>
      <w:bookmarkStart w:id="68" w:name="_Toc239440925"/>
      <w:r w:rsidRPr="00C75B3F">
        <w:rPr>
          <w:lang w:val="es-MX"/>
        </w:rPr>
        <w:t>Explicabilidad, transparencia y privacidad</w:t>
      </w:r>
      <w:bookmarkEnd w:id="68"/>
    </w:p>
    <w:p w14:paraId="11D52B6D" w14:textId="77777777" w:rsidR="00C75B3F" w:rsidRPr="00C75B3F" w:rsidRDefault="00C75B3F" w:rsidP="00C75B3F">
      <w:pPr>
        <w:rPr>
          <w:lang w:val="es-MX"/>
        </w:rPr>
      </w:pPr>
      <w:r w:rsidRPr="00C75B3F">
        <w:rPr>
          <w:lang w:val="es-MX"/>
        </w:rPr>
        <w:t xml:space="preserve">La explicabilidad debe permitir comprender y actuar. Para un estudiante, puede ser más útil conocer qué criterio no se cumplió y qué evidencia se observó que recibir detalles matemáticos. Para un auditor, se necesitan datos, versión, métricas y registros. Las explicaciones se adaptan a audiencia sin ocultar incertidumbre. Una justificación generada después de la puntuación puede sonar razonable sin reflejar el proceso real. Por ello, la institución distingue explicación fiel de narrativa plausible. En decisiones de alto impacto se conserva trazabilidad y se ofrecen ejemplos o evidencias concretas. La persona debe saber cómo corregir datos y apelar (Tabassi, 2023;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w:t>
      </w:r>
    </w:p>
    <w:p w14:paraId="39EFB869" w14:textId="77777777" w:rsidR="00C75B3F" w:rsidRPr="00C75B3F" w:rsidRDefault="00C75B3F" w:rsidP="00C75B3F">
      <w:pPr>
        <w:rPr>
          <w:lang w:val="es-MX"/>
        </w:rPr>
      </w:pPr>
      <w:r w:rsidRPr="00C75B3F">
        <w:rPr>
          <w:lang w:val="es-MX"/>
        </w:rPr>
        <w:t>La transparencia incluye informar que se utiliza inteligencia artificial, propósito, datos, peso en la decisión y responsables. No exige publicar información que comprometa seguridad, pero sí lo necesario para ejercer derechos. Las políticas generales se traducen en avisos de curso y procedimientos. El estudiante no debería descubrir la automatización después de recibir una nota. También se documentan cambios de versión y periodos de piloto. La transparencia hacia docentes es igualmente importante, porque no pueden supervisar un sistema que desconocen. Los contratos deben asegurar acceso a información y auditoría (UNESCO, 2021; OECD, 2023).</w:t>
      </w:r>
    </w:p>
    <w:p w14:paraId="3C825662" w14:textId="77777777" w:rsidR="00C75B3F" w:rsidRPr="00C75B3F" w:rsidRDefault="00C75B3F" w:rsidP="00C75B3F">
      <w:pPr>
        <w:rPr>
          <w:lang w:val="es-MX"/>
        </w:rPr>
      </w:pPr>
      <w:r w:rsidRPr="00C75B3F">
        <w:rPr>
          <w:lang w:val="es-MX"/>
        </w:rPr>
        <w:lastRenderedPageBreak/>
        <w:t xml:space="preserve">La privacidad se rige por finalidad y minimización. Una plataforma de evaluación puede procesar respuestas, voz, imagen, tiempo y patrones de navegación. No todo dato disponible es necesario. La vigilancia remota presenta riesgos de intrusión, errores y desigualdad de condiciones. Antes de adoptarla se comparan alternativas menos invasivas. Los datos se almacenan por un tiempo definido, con acceso limitado y seguridad. Los estudiantes reciben información comprensible y vías de consulta. Los materiales de evaluación y la propiedad intelectual también requieren protección. La anonimización reduce riesgos, pero combinaciones de datos pueden </w:t>
      </w:r>
      <w:proofErr w:type="spellStart"/>
      <w:r w:rsidRPr="00C75B3F">
        <w:rPr>
          <w:lang w:val="es-MX"/>
        </w:rPr>
        <w:t>reidentificar</w:t>
      </w:r>
      <w:proofErr w:type="spellEnd"/>
      <w:r w:rsidRPr="00C75B3F">
        <w:rPr>
          <w:lang w:val="es-MX"/>
        </w:rPr>
        <w:t>. La gobernanza debe acompañar todo el ciclo (Slade &amp; Prinsloo, 2013; UNESCO, 2021).</w:t>
      </w:r>
    </w:p>
    <w:p w14:paraId="6F38B6F4" w14:textId="3B676FAB" w:rsidR="00C75B3F" w:rsidRPr="00C75B3F" w:rsidRDefault="00C75B3F" w:rsidP="0006103B">
      <w:pPr>
        <w:pStyle w:val="Ttulo3"/>
        <w:rPr>
          <w:lang w:val="es-MX"/>
        </w:rPr>
      </w:pPr>
      <w:bookmarkStart w:id="69" w:name="_Toc239440926"/>
      <w:r w:rsidRPr="00C75B3F">
        <w:rPr>
          <w:lang w:val="es-MX"/>
        </w:rPr>
        <w:t>Seguridad, supervisión, apelación y monitoreo</w:t>
      </w:r>
      <w:bookmarkEnd w:id="69"/>
    </w:p>
    <w:p w14:paraId="6DCFA82C" w14:textId="77777777" w:rsidR="00C75B3F" w:rsidRPr="00C75B3F" w:rsidRDefault="00C75B3F" w:rsidP="00C75B3F">
      <w:pPr>
        <w:rPr>
          <w:lang w:val="es-MX"/>
        </w:rPr>
      </w:pPr>
      <w:r w:rsidRPr="00C75B3F">
        <w:rPr>
          <w:lang w:val="es-MX"/>
        </w:rPr>
        <w:t xml:space="preserve">La seguridad protege integridad, disponibilidad y confidencialidad. Los bancos de ítems necesitan controles, pero la respuesta no debe consistir solo en vigilancia. Se diseñan formas equivalentes, tareas contextualizadas y defensas. Los sistemas que ejecutan código utilizan aislamiento. Los modelos generativos pueden exponer información incluida en instrucciones o documentos. El personal evita cargar materiales confidenciales en servicios no autorizados. También se planifican interrupciones, pérdida de conexión y errores. Una alternativa manual permite continuar. Los incidentes se reportan, contienen y analizan. La continuidad es parte de la validez cuando un fallo afecta de forma desigual (Tabassi, 2023; </w:t>
      </w:r>
      <w:proofErr w:type="spellStart"/>
      <w:r w:rsidRPr="00C75B3F">
        <w:rPr>
          <w:lang w:val="es-MX"/>
        </w:rPr>
        <w:t>European</w:t>
      </w:r>
      <w:proofErr w:type="spellEnd"/>
      <w:r w:rsidRPr="00C75B3F">
        <w:rPr>
          <w:lang w:val="es-MX"/>
        </w:rPr>
        <w:t xml:space="preserve"> </w:t>
      </w:r>
      <w:proofErr w:type="spellStart"/>
      <w:r w:rsidRPr="00C75B3F">
        <w:rPr>
          <w:lang w:val="es-MX"/>
        </w:rPr>
        <w:t>Commission</w:t>
      </w:r>
      <w:proofErr w:type="spellEnd"/>
      <w:r w:rsidRPr="00C75B3F">
        <w:rPr>
          <w:lang w:val="es-MX"/>
        </w:rPr>
        <w:t>, 2022).</w:t>
      </w:r>
    </w:p>
    <w:p w14:paraId="527391CD" w14:textId="77777777" w:rsidR="00C75B3F" w:rsidRPr="00C75B3F" w:rsidRDefault="00C75B3F" w:rsidP="00C75B3F">
      <w:pPr>
        <w:rPr>
          <w:lang w:val="es-MX"/>
        </w:rPr>
      </w:pPr>
      <w:r w:rsidRPr="00C75B3F">
        <w:rPr>
          <w:lang w:val="es-MX"/>
        </w:rPr>
        <w:t>La supervisión humana es significativa cuando la persona tiene competencia, tiempo, información y autoridad. Firmar una decisión automática no basta. Debe poder revisar evidencia, apartarse de la recomendación y detener el sistema. Las funciones se distribuyen entre docente, coordinación, tecnología, protección de datos y comité académico. Para bajo riesgo, la supervisión puede consistir en muestreo y monitoreo. Para alto riesgo, se requiere revisión individual y apelación. Los umbrales de intervención se definen antes. También se protege al docente frente a cargas imposibles. Si no existe capacidad real, el uso debe limitarse (Molenaar, 2022; Tabassi, 2023).</w:t>
      </w:r>
    </w:p>
    <w:p w14:paraId="1ED82F3E" w14:textId="77777777" w:rsidR="00C75B3F" w:rsidRPr="00C75B3F" w:rsidRDefault="00C75B3F" w:rsidP="00C75B3F">
      <w:pPr>
        <w:rPr>
          <w:lang w:val="es-MX"/>
        </w:rPr>
      </w:pPr>
      <w:r w:rsidRPr="00C75B3F">
        <w:rPr>
          <w:lang w:val="es-MX"/>
        </w:rPr>
        <w:t>La apelación forma parte del diseño, no es un remedio posterior. El estudiante necesita saber dónde presentar una discrepancia, qué evidencia aportar, quién decide y en qué plazo. La revisión debe ser independiente cuando sea posible y no penalizar el ejercicio del derecho. Los registros permiten reconstruir la puntuación. Si se identifica un error sistémico, se revisan casos similares. Las apelaciones también generan aprendizaje institucional al revelar ambigüedades o sesgos. Un proceso accesible ofrece formatos alternativos y apoyo. La decisión final se comunica con razones y opciones posteriores (AERA et al., 2014; UNESCO, 2021).</w:t>
      </w:r>
    </w:p>
    <w:p w14:paraId="66992AC6" w14:textId="0AF973F2" w:rsidR="00C75B3F" w:rsidRPr="00C75B3F" w:rsidRDefault="00C75B3F" w:rsidP="00C75B3F">
      <w:pPr>
        <w:rPr>
          <w:lang w:val="es-MX"/>
        </w:rPr>
      </w:pPr>
      <w:r w:rsidRPr="00C75B3F">
        <w:rPr>
          <w:b/>
          <w:bCs/>
          <w:lang w:val="es-MX"/>
        </w:rPr>
        <w:t xml:space="preserve">Tabla </w:t>
      </w:r>
      <w:r w:rsidR="00FA6F60">
        <w:rPr>
          <w:b/>
          <w:bCs/>
          <w:lang w:val="es-MX"/>
        </w:rPr>
        <w:t>3</w:t>
      </w:r>
      <w:r w:rsidRPr="00C75B3F">
        <w:rPr>
          <w:b/>
          <w:bCs/>
          <w:lang w:val="es-MX"/>
        </w:rPr>
        <w:t>.4. Salvaguardias para decisiones evaluativas automatizadas</w:t>
      </w:r>
    </w:p>
    <w:tbl>
      <w:tblPr>
        <w:tblStyle w:val="Tablanormal2"/>
        <w:tblW w:w="8164" w:type="dxa"/>
        <w:tblLook w:val="04A0" w:firstRow="1" w:lastRow="0" w:firstColumn="1" w:lastColumn="0" w:noHBand="0" w:noVBand="1"/>
      </w:tblPr>
      <w:tblGrid>
        <w:gridCol w:w="2041"/>
        <w:gridCol w:w="2041"/>
        <w:gridCol w:w="2041"/>
        <w:gridCol w:w="2041"/>
      </w:tblGrid>
      <w:tr w:rsidR="00C75B3F" w:rsidRPr="00C75B3F" w14:paraId="18F699D3" w14:textId="77777777" w:rsidTr="00061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1D0AD230" w14:textId="77777777" w:rsidR="00C75B3F" w:rsidRPr="0006103B" w:rsidRDefault="00C75B3F" w:rsidP="00E54CA6">
            <w:pPr>
              <w:spacing w:before="0" w:after="0" w:line="240" w:lineRule="auto"/>
              <w:jc w:val="center"/>
              <w:rPr>
                <w:sz w:val="20"/>
                <w:szCs w:val="20"/>
                <w:lang w:val="es-MX"/>
              </w:rPr>
            </w:pPr>
            <w:r w:rsidRPr="0006103B">
              <w:rPr>
                <w:sz w:val="20"/>
                <w:szCs w:val="20"/>
                <w:lang w:val="es-MX"/>
              </w:rPr>
              <w:t>Salvaguardia</w:t>
            </w:r>
          </w:p>
        </w:tc>
        <w:tc>
          <w:tcPr>
            <w:tcW w:w="2041" w:type="dxa"/>
            <w:vAlign w:val="center"/>
            <w:hideMark/>
          </w:tcPr>
          <w:p w14:paraId="432E3043" w14:textId="77777777" w:rsidR="00C75B3F" w:rsidRPr="0006103B" w:rsidRDefault="00C75B3F" w:rsidP="00E54CA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Finalidad</w:t>
            </w:r>
          </w:p>
        </w:tc>
        <w:tc>
          <w:tcPr>
            <w:tcW w:w="2041" w:type="dxa"/>
            <w:vAlign w:val="center"/>
            <w:hideMark/>
          </w:tcPr>
          <w:p w14:paraId="5DFE565A" w14:textId="77777777" w:rsidR="00C75B3F" w:rsidRPr="0006103B" w:rsidRDefault="00C75B3F" w:rsidP="00E54CA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Responsable</w:t>
            </w:r>
          </w:p>
        </w:tc>
        <w:tc>
          <w:tcPr>
            <w:tcW w:w="2041" w:type="dxa"/>
            <w:vAlign w:val="center"/>
            <w:hideMark/>
          </w:tcPr>
          <w:p w14:paraId="014396A3" w14:textId="77777777" w:rsidR="00C75B3F" w:rsidRPr="0006103B" w:rsidRDefault="00C75B3F" w:rsidP="00E54CA6">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Evidencia requerida</w:t>
            </w:r>
          </w:p>
        </w:tc>
      </w:tr>
      <w:tr w:rsidR="00C75B3F" w:rsidRPr="00C75B3F" w14:paraId="04ACC022"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4777E661" w14:textId="77777777" w:rsidR="00C75B3F" w:rsidRPr="0006103B" w:rsidRDefault="00C75B3F" w:rsidP="0006103B">
            <w:pPr>
              <w:spacing w:before="0" w:after="0" w:line="240" w:lineRule="auto"/>
              <w:rPr>
                <w:sz w:val="20"/>
                <w:szCs w:val="20"/>
                <w:lang w:val="es-MX"/>
              </w:rPr>
            </w:pPr>
            <w:r w:rsidRPr="0006103B">
              <w:rPr>
                <w:sz w:val="20"/>
                <w:szCs w:val="20"/>
                <w:lang w:val="es-MX"/>
              </w:rPr>
              <w:t>Validación</w:t>
            </w:r>
          </w:p>
        </w:tc>
        <w:tc>
          <w:tcPr>
            <w:tcW w:w="2041" w:type="dxa"/>
            <w:vAlign w:val="center"/>
            <w:hideMark/>
          </w:tcPr>
          <w:p w14:paraId="5DCDFB74"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Sustentar interpretaciones y usos</w:t>
            </w:r>
          </w:p>
        </w:tc>
        <w:tc>
          <w:tcPr>
            <w:tcW w:w="2041" w:type="dxa"/>
            <w:vAlign w:val="center"/>
            <w:hideMark/>
          </w:tcPr>
          <w:p w14:paraId="42347BFD"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Equipo académico</w:t>
            </w:r>
          </w:p>
        </w:tc>
        <w:tc>
          <w:tcPr>
            <w:tcW w:w="2041" w:type="dxa"/>
            <w:vAlign w:val="center"/>
            <w:hideMark/>
          </w:tcPr>
          <w:p w14:paraId="7285737F"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Resultados por tareas y grupos</w:t>
            </w:r>
          </w:p>
        </w:tc>
      </w:tr>
      <w:tr w:rsidR="00C75B3F" w:rsidRPr="00C75B3F" w14:paraId="11339253" w14:textId="77777777" w:rsidTr="0006103B">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72538887" w14:textId="77777777" w:rsidR="00C75B3F" w:rsidRPr="0006103B" w:rsidRDefault="00C75B3F" w:rsidP="0006103B">
            <w:pPr>
              <w:spacing w:before="0" w:after="0" w:line="240" w:lineRule="auto"/>
              <w:rPr>
                <w:sz w:val="20"/>
                <w:szCs w:val="20"/>
                <w:lang w:val="es-MX"/>
              </w:rPr>
            </w:pPr>
            <w:r w:rsidRPr="0006103B">
              <w:rPr>
                <w:sz w:val="20"/>
                <w:szCs w:val="20"/>
                <w:lang w:val="es-MX"/>
              </w:rPr>
              <w:lastRenderedPageBreak/>
              <w:t>Supervisión humana</w:t>
            </w:r>
          </w:p>
        </w:tc>
        <w:tc>
          <w:tcPr>
            <w:tcW w:w="2041" w:type="dxa"/>
            <w:vAlign w:val="center"/>
            <w:hideMark/>
          </w:tcPr>
          <w:p w14:paraId="09A99B62"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Revisar y apartarse de la salida</w:t>
            </w:r>
          </w:p>
        </w:tc>
        <w:tc>
          <w:tcPr>
            <w:tcW w:w="2041" w:type="dxa"/>
            <w:vAlign w:val="center"/>
            <w:hideMark/>
          </w:tcPr>
          <w:p w14:paraId="4ABAA74A"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Docente autorizado</w:t>
            </w:r>
          </w:p>
        </w:tc>
        <w:tc>
          <w:tcPr>
            <w:tcW w:w="2041" w:type="dxa"/>
            <w:vAlign w:val="center"/>
            <w:hideMark/>
          </w:tcPr>
          <w:p w14:paraId="75B08D8F"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Registro de revisión y decisión</w:t>
            </w:r>
          </w:p>
        </w:tc>
      </w:tr>
      <w:tr w:rsidR="00C75B3F" w:rsidRPr="00C75B3F" w14:paraId="2776FFDD"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028138DF" w14:textId="77777777" w:rsidR="00C75B3F" w:rsidRPr="0006103B" w:rsidRDefault="00C75B3F" w:rsidP="0006103B">
            <w:pPr>
              <w:spacing w:before="0" w:after="0" w:line="240" w:lineRule="auto"/>
              <w:rPr>
                <w:sz w:val="20"/>
                <w:szCs w:val="20"/>
                <w:lang w:val="es-MX"/>
              </w:rPr>
            </w:pPr>
            <w:r w:rsidRPr="0006103B">
              <w:rPr>
                <w:sz w:val="20"/>
                <w:szCs w:val="20"/>
                <w:lang w:val="es-MX"/>
              </w:rPr>
              <w:t>Transparencia</w:t>
            </w:r>
          </w:p>
        </w:tc>
        <w:tc>
          <w:tcPr>
            <w:tcW w:w="2041" w:type="dxa"/>
            <w:vAlign w:val="center"/>
            <w:hideMark/>
          </w:tcPr>
          <w:p w14:paraId="326F77C3"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Permitir comprensión y actuación</w:t>
            </w:r>
          </w:p>
        </w:tc>
        <w:tc>
          <w:tcPr>
            <w:tcW w:w="2041" w:type="dxa"/>
            <w:vAlign w:val="center"/>
            <w:hideMark/>
          </w:tcPr>
          <w:p w14:paraId="795248E2"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Institución</w:t>
            </w:r>
          </w:p>
        </w:tc>
        <w:tc>
          <w:tcPr>
            <w:tcW w:w="2041" w:type="dxa"/>
            <w:vAlign w:val="center"/>
            <w:hideMark/>
          </w:tcPr>
          <w:p w14:paraId="64C2FD29"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Información sobre propósito, datos y peso</w:t>
            </w:r>
          </w:p>
        </w:tc>
      </w:tr>
      <w:tr w:rsidR="00C75B3F" w:rsidRPr="00C75B3F" w14:paraId="0706B601" w14:textId="77777777" w:rsidTr="0006103B">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1B427F54" w14:textId="77777777" w:rsidR="00C75B3F" w:rsidRPr="0006103B" w:rsidRDefault="00C75B3F" w:rsidP="0006103B">
            <w:pPr>
              <w:spacing w:before="0" w:after="0" w:line="240" w:lineRule="auto"/>
              <w:rPr>
                <w:sz w:val="20"/>
                <w:szCs w:val="20"/>
                <w:lang w:val="es-MX"/>
              </w:rPr>
            </w:pPr>
            <w:r w:rsidRPr="0006103B">
              <w:rPr>
                <w:sz w:val="20"/>
                <w:szCs w:val="20"/>
                <w:lang w:val="es-MX"/>
              </w:rPr>
              <w:t>Apelación</w:t>
            </w:r>
          </w:p>
        </w:tc>
        <w:tc>
          <w:tcPr>
            <w:tcW w:w="2041" w:type="dxa"/>
            <w:vAlign w:val="center"/>
            <w:hideMark/>
          </w:tcPr>
          <w:p w14:paraId="611B7C46"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Corregir errores y proteger derechos</w:t>
            </w:r>
          </w:p>
        </w:tc>
        <w:tc>
          <w:tcPr>
            <w:tcW w:w="2041" w:type="dxa"/>
            <w:vAlign w:val="center"/>
            <w:hideMark/>
          </w:tcPr>
          <w:p w14:paraId="767B838F"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Unidad responsable</w:t>
            </w:r>
          </w:p>
        </w:tc>
        <w:tc>
          <w:tcPr>
            <w:tcW w:w="2041" w:type="dxa"/>
            <w:vAlign w:val="center"/>
            <w:hideMark/>
          </w:tcPr>
          <w:p w14:paraId="7B7307FF" w14:textId="77777777" w:rsidR="00C75B3F" w:rsidRPr="0006103B" w:rsidRDefault="00C75B3F" w:rsidP="0006103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06103B">
              <w:rPr>
                <w:sz w:val="20"/>
                <w:szCs w:val="20"/>
                <w:lang w:val="es-MX"/>
              </w:rPr>
              <w:t>Canal, plazo y respuesta fundamentada</w:t>
            </w:r>
          </w:p>
        </w:tc>
      </w:tr>
      <w:tr w:rsidR="00C75B3F" w:rsidRPr="00C75B3F" w14:paraId="039CD95A" w14:textId="77777777" w:rsidTr="00061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vAlign w:val="center"/>
            <w:hideMark/>
          </w:tcPr>
          <w:p w14:paraId="2780FB4A" w14:textId="77777777" w:rsidR="00C75B3F" w:rsidRPr="0006103B" w:rsidRDefault="00C75B3F" w:rsidP="0006103B">
            <w:pPr>
              <w:spacing w:before="0" w:after="0" w:line="240" w:lineRule="auto"/>
              <w:rPr>
                <w:sz w:val="20"/>
                <w:szCs w:val="20"/>
                <w:lang w:val="es-MX"/>
              </w:rPr>
            </w:pPr>
            <w:r w:rsidRPr="0006103B">
              <w:rPr>
                <w:sz w:val="20"/>
                <w:szCs w:val="20"/>
                <w:lang w:val="es-MX"/>
              </w:rPr>
              <w:t>Monitoreo</w:t>
            </w:r>
          </w:p>
        </w:tc>
        <w:tc>
          <w:tcPr>
            <w:tcW w:w="2041" w:type="dxa"/>
            <w:vAlign w:val="center"/>
            <w:hideMark/>
          </w:tcPr>
          <w:p w14:paraId="1A34FED5"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Detectar degradación y consecuencias</w:t>
            </w:r>
          </w:p>
        </w:tc>
        <w:tc>
          <w:tcPr>
            <w:tcW w:w="2041" w:type="dxa"/>
            <w:vAlign w:val="center"/>
            <w:hideMark/>
          </w:tcPr>
          <w:p w14:paraId="7E20E6A6"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Gobernanza institucional</w:t>
            </w:r>
          </w:p>
        </w:tc>
        <w:tc>
          <w:tcPr>
            <w:tcW w:w="2041" w:type="dxa"/>
            <w:vAlign w:val="center"/>
            <w:hideMark/>
          </w:tcPr>
          <w:p w14:paraId="4F3D7420" w14:textId="77777777" w:rsidR="00C75B3F" w:rsidRPr="0006103B" w:rsidRDefault="00C75B3F" w:rsidP="0006103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06103B">
              <w:rPr>
                <w:sz w:val="20"/>
                <w:szCs w:val="20"/>
                <w:lang w:val="es-MX"/>
              </w:rPr>
              <w:t>Indicadores, incidentes y acciones correctivas</w:t>
            </w:r>
          </w:p>
        </w:tc>
      </w:tr>
    </w:tbl>
    <w:p w14:paraId="334B107C" w14:textId="77777777" w:rsidR="00C75B3F" w:rsidRPr="00C75B3F" w:rsidRDefault="00C75B3F" w:rsidP="00C75B3F">
      <w:pPr>
        <w:rPr>
          <w:lang w:val="es-MX"/>
        </w:rPr>
      </w:pPr>
      <w:r w:rsidRPr="00C75B3F">
        <w:rPr>
          <w:i/>
          <w:iCs/>
          <w:lang w:val="es-MX"/>
        </w:rPr>
        <w:t>Fuente: elaboración propia a partir de las referencias citadas en el apartado.</w:t>
      </w:r>
    </w:p>
    <w:p w14:paraId="61C44720" w14:textId="77777777" w:rsidR="00C75B3F" w:rsidRPr="00C75B3F" w:rsidRDefault="00C75B3F" w:rsidP="00C75B3F">
      <w:pPr>
        <w:rPr>
          <w:lang w:val="es-MX"/>
        </w:rPr>
      </w:pPr>
      <w:r w:rsidRPr="00C75B3F">
        <w:rPr>
          <w:lang w:val="es-MX"/>
        </w:rPr>
        <w:t>El monitoreo posterior observa degradación y efectos. Un modelo puede perder desempeño cuando cambian tareas, cohortes o lenguaje. Se comparan métricas, discrepancias, apelaciones y resultados por grupos. También se estudia cómo estudiantes adaptan conductas. Una evaluación puede inducir producción superficial o dependencia de herramientas. Los indicadores se definen antes y se revisan periódicamente. Las actualizaciones importantes requieren nuevo piloto. Los proveedores deben informar cambios, pero la institución mantiene responsabilidad. El monitoreo no justifica recopilar datos ilimitados. Utiliza muestras y señales proporcionales (Tabassi, 2023; OECD, 2026).</w:t>
      </w:r>
    </w:p>
    <w:p w14:paraId="41E98DE9" w14:textId="6D80E239" w:rsidR="00C75B3F" w:rsidRPr="00C75B3F" w:rsidRDefault="00C75B3F" w:rsidP="00E54CA6">
      <w:pPr>
        <w:pStyle w:val="Ttulo3"/>
        <w:rPr>
          <w:lang w:val="es-MX"/>
        </w:rPr>
      </w:pPr>
      <w:bookmarkStart w:id="70" w:name="_Toc239440927"/>
      <w:r w:rsidRPr="00C75B3F">
        <w:rPr>
          <w:lang w:val="es-MX"/>
        </w:rPr>
        <w:t>Gobernanza, formación, proporcionalidad y consecuencias</w:t>
      </w:r>
      <w:bookmarkEnd w:id="70"/>
    </w:p>
    <w:p w14:paraId="37F60414" w14:textId="77777777" w:rsidR="00C75B3F" w:rsidRPr="00C75B3F" w:rsidRDefault="00C75B3F" w:rsidP="00C75B3F">
      <w:pPr>
        <w:rPr>
          <w:lang w:val="es-MX"/>
        </w:rPr>
      </w:pPr>
      <w:r w:rsidRPr="00C75B3F">
        <w:rPr>
          <w:lang w:val="es-MX"/>
        </w:rPr>
        <w:t>La gobernanza establece quién autoriza, valida, compra y retira sistemas. Un registro institucional documenta finalidad, población, datos, nivel de riesgo, responsable y fecha de revisión. Los usos experimentales se distinguen de los consolidados. Participan docentes, estudiantes, especialistas técnicos, accesibilidad, ética y protección de datos. La contratación incluye requisitos de seguridad, portabilidad, auditoría y terminación. Las políticas deben permitir adaptación disciplinar sin perder garantías comunes. La responsabilidad no se transfiere al proveedor. Cuando una herramienta cambia las condiciones de evaluación, los órganos académicos deben participar (OECD, 2023; UNESCO, 2021).</w:t>
      </w:r>
    </w:p>
    <w:p w14:paraId="74074456" w14:textId="77777777" w:rsidR="00C75B3F" w:rsidRPr="00C75B3F" w:rsidRDefault="00C75B3F" w:rsidP="00C75B3F">
      <w:pPr>
        <w:rPr>
          <w:lang w:val="es-MX"/>
        </w:rPr>
      </w:pPr>
      <w:r w:rsidRPr="00C75B3F">
        <w:rPr>
          <w:lang w:val="es-MX"/>
        </w:rPr>
        <w:t>La formación docente es una condición de validez. Quien diseña y supervisa necesita comprender capacidades, límites, datos, criterios y sesgos. La capacitación debe utilizar casos y permitir practicar discrepancias, no limitarse a aprender botones. También necesita tiempo reconocido. Los estudiantes requieren alfabetización para interpretar comentarios y declarar usos. La comunidad comparte incidentes y mejoras. Una cultura responsable admite incertidumbre y evita castigar a quien cuestiona una salida. El liderazgo facilita recursos y establece que la eficiencia nunca reemplaza la obligación de justificar decisiones (Miao &amp; Cukurova, 2024; OECD, 2026).</w:t>
      </w:r>
    </w:p>
    <w:p w14:paraId="55D5859C" w14:textId="77777777" w:rsidR="00C75B3F" w:rsidRPr="00C75B3F" w:rsidRDefault="00C75B3F" w:rsidP="00C75B3F">
      <w:pPr>
        <w:rPr>
          <w:lang w:val="es-MX"/>
        </w:rPr>
      </w:pPr>
      <w:r w:rsidRPr="00C75B3F">
        <w:rPr>
          <w:lang w:val="es-MX"/>
        </w:rPr>
        <w:t xml:space="preserve">La proporcionalidad integra todos los criterios. Cuanto mayor es el impacto, más sólida debe ser la evidencia, más limitada la automatización y más accesible la revisión. Un cuestionario de práctica puede tolerar errores anunciados; una calificación final no. Una recomendación voluntaria admite personalización; una decisión sobre permanencia requiere garantías. La matriz </w:t>
      </w:r>
      <w:r w:rsidRPr="00C75B3F">
        <w:rPr>
          <w:lang w:val="es-MX"/>
        </w:rPr>
        <w:lastRenderedPageBreak/>
        <w:t>de riesgo considera gravedad, alcance, reversibilidad y vulnerabilidad. La decisión puede ser usar con controles, pilotar, rediseñar o no automatizar. La innovación responsable incluye renunciar cuando los beneficios no compensan riesgos (Tabassi, 2023; UNESCO, 2021).</w:t>
      </w:r>
    </w:p>
    <w:p w14:paraId="7B73A0F0" w14:textId="6442E6F2" w:rsidR="00936258" w:rsidRDefault="00C75B3F" w:rsidP="00C75B3F">
      <w:pPr>
        <w:rPr>
          <w:lang w:val="es-MX"/>
        </w:rPr>
      </w:pPr>
      <w:r w:rsidRPr="00C75B3F">
        <w:rPr>
          <w:lang w:val="es-MX"/>
        </w:rPr>
        <w:t>La evaluación de consecuencias analiza cómo las puntuaciones y prácticas afectan oportunidades, motivación y comportamiento. Un sistema puede ser preciso y aun producir efectos perjudiciales si etiqueta, estigmatiza o estrecha el currículo. También puede mejorar equidad al ofrecer retroalimentación oportuna. Las consecuencias previstas y no previstas se incorporan al argumento de validez. Se estudia quién recibe apoyo, quién abandona, qué contenidos se enseñan y cómo cambian las relaciones. Las decisiones se revisan cuando el uso genera daños, incluso si las métricas técnicas permanecen estables. La responsabilidad incluye observar el mundo que la evaluación contribuye a crear (Messick, 1989; Kane, 2013).</w:t>
      </w:r>
    </w:p>
    <w:p w14:paraId="2021E878" w14:textId="7734C38D" w:rsidR="00BF71B7" w:rsidRDefault="00BF71B7" w:rsidP="00C75B3F">
      <w:pPr>
        <w:rPr>
          <w:lang w:val="es-MX"/>
        </w:rPr>
      </w:pPr>
      <w:r>
        <w:rPr>
          <w:noProof/>
          <w:lang w:val="es-MX"/>
        </w:rPr>
        <w:drawing>
          <wp:inline distT="0" distB="0" distL="0" distR="0" wp14:anchorId="30540E35" wp14:editId="0D4DDFDD">
            <wp:extent cx="5391150" cy="3600450"/>
            <wp:effectExtent l="0" t="0" r="0" b="0"/>
            <wp:docPr id="161971568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14:paraId="75A2C3CD" w14:textId="77777777" w:rsidR="00936258" w:rsidRDefault="00936258">
      <w:pPr>
        <w:spacing w:before="0" w:after="160" w:line="278" w:lineRule="auto"/>
        <w:jc w:val="left"/>
        <w:rPr>
          <w:lang w:val="es-MX"/>
        </w:rPr>
      </w:pPr>
      <w:r>
        <w:rPr>
          <w:lang w:val="es-MX"/>
        </w:rPr>
        <w:br w:type="page"/>
      </w:r>
    </w:p>
    <w:p w14:paraId="10388B41" w14:textId="38DB3826" w:rsidR="00391A9F" w:rsidRPr="00FD016B" w:rsidRDefault="00936258" w:rsidP="00FD016B">
      <w:pPr>
        <w:pStyle w:val="Ttulo1"/>
      </w:pPr>
      <w:bookmarkStart w:id="71" w:name="_Toc239440928"/>
      <w:r w:rsidRPr="00FD016B">
        <w:lastRenderedPageBreak/>
        <w:t xml:space="preserve">Capítulo </w:t>
      </w:r>
      <w:r w:rsidR="00C645D4">
        <w:t>4</w:t>
      </w:r>
      <w:r w:rsidR="00CC0F3E" w:rsidRPr="00FD016B">
        <w:t xml:space="preserve"> </w:t>
      </w:r>
      <w:r w:rsidRPr="00FD016B">
        <w:t>Inteligencia artificial en la investigación y producción científica</w:t>
      </w:r>
      <w:bookmarkEnd w:id="71"/>
    </w:p>
    <w:p w14:paraId="47E75D4A" w14:textId="77777777" w:rsidR="00FD016B" w:rsidRDefault="00FD016B">
      <w:pPr>
        <w:spacing w:before="0" w:after="160" w:line="278" w:lineRule="auto"/>
        <w:jc w:val="left"/>
        <w:rPr>
          <w:b/>
          <w:bCs/>
        </w:rPr>
      </w:pPr>
      <w:r>
        <w:rPr>
          <w:b/>
          <w:bCs/>
        </w:rPr>
        <w:br w:type="page"/>
      </w:r>
    </w:p>
    <w:p w14:paraId="74A66F37" w14:textId="0B9E030A" w:rsidR="00CC0F3E" w:rsidRDefault="00CC0F3E" w:rsidP="00CC0F3E">
      <w:pPr>
        <w:jc w:val="center"/>
        <w:rPr>
          <w:b/>
          <w:bCs/>
        </w:rPr>
      </w:pPr>
      <w:r w:rsidRPr="00CC0F3E">
        <w:rPr>
          <w:b/>
          <w:bCs/>
        </w:rPr>
        <w:lastRenderedPageBreak/>
        <w:t>Introducción</w:t>
      </w:r>
    </w:p>
    <w:p w14:paraId="4EF575E8" w14:textId="4FAB2B3C" w:rsidR="00F11B80" w:rsidRPr="00F11B80" w:rsidRDefault="00F11B80" w:rsidP="00CC0F3E">
      <w:pPr>
        <w:rPr>
          <w:lang w:val="es-MX"/>
        </w:rPr>
      </w:pPr>
      <w:r w:rsidRPr="00F11B80">
        <w:rPr>
          <w:lang w:val="es-MX"/>
        </w:rPr>
        <w:t xml:space="preserve">Los capítulos anteriores mostraron que la inteligencia artificial transforma la enseñanza, el aprendizaje y la evaluación. En la investigación universitaria, su influencia se extiende desde la formulación de preguntas hasta la comunicación de resultados. Los sistemas actuales localizan términos, clasifican documentos, resumen textos, apoyan la programación, reconocen patrones y generan borradores. Estas funciones pueden reducir tareas repetitivas y ampliar la exploración, pero no convierten automáticamente un proceso en investigación. Investigar exige construir un problema, justificar un método, valorar evidencia, reconocer incertidumbre y responder por las conclusiones. La rapidez de una salida no sustituye la trazabilidad ni el juicio científico (Miao &amp; Holmes, 2023;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39B91D3F" w14:textId="77777777" w:rsidR="00F11B80" w:rsidRPr="00F11B80" w:rsidRDefault="00F11B80" w:rsidP="00F11B80">
      <w:pPr>
        <w:rPr>
          <w:lang w:val="es-MX"/>
        </w:rPr>
      </w:pPr>
      <w:r w:rsidRPr="00F11B80">
        <w:rPr>
          <w:lang w:val="es-MX"/>
        </w:rPr>
        <w:t>La contribución de la inteligencia artificial depende de cómo se integre en un flujo verificable. Una síntesis generada puede orientar una primera lectura, pero no reemplaza el examen de fuentes. Un texto fluido puede mejorar legibilidad, aunque también ocultar citas inexistentes. Un análisis automatizado puede descubrir patrones, pero produce resultados inválidos si los datos, supuestos o decisiones son inadecuados. Por ello, la asistencia debe tratarse como una intervención metodológica que se documenta, prueba y supervisa. El investigador conserva responsabilidad sobre datos, procedimientos, interpretación, autoría y comunicación. Esta obligación se mantiene aunque la herramienta sea institucional o ampliamente utilizada (</w:t>
      </w:r>
      <w:proofErr w:type="spellStart"/>
      <w:r w:rsidRPr="00F11B80">
        <w:rPr>
          <w:lang w:val="es-MX"/>
        </w:rPr>
        <w:t>Committee</w:t>
      </w:r>
      <w:proofErr w:type="spellEnd"/>
      <w:r w:rsidRPr="00F11B80">
        <w:rPr>
          <w:lang w:val="es-MX"/>
        </w:rPr>
        <w:t xml:space="preserve"> </w:t>
      </w:r>
      <w:proofErr w:type="spellStart"/>
      <w:r w:rsidRPr="00F11B80">
        <w:rPr>
          <w:lang w:val="es-MX"/>
        </w:rPr>
        <w:t>on</w:t>
      </w:r>
      <w:proofErr w:type="spellEnd"/>
      <w:r w:rsidRPr="00F11B80">
        <w:rPr>
          <w:lang w:val="es-MX"/>
        </w:rPr>
        <w:t xml:space="preserve"> </w:t>
      </w:r>
      <w:proofErr w:type="spellStart"/>
      <w:r w:rsidRPr="00F11B80">
        <w:rPr>
          <w:lang w:val="es-MX"/>
        </w:rPr>
        <w:t>Publication</w:t>
      </w:r>
      <w:proofErr w:type="spellEnd"/>
      <w:r w:rsidRPr="00F11B80">
        <w:rPr>
          <w:lang w:val="es-MX"/>
        </w:rPr>
        <w:t xml:space="preserve"> </w:t>
      </w:r>
      <w:proofErr w:type="spellStart"/>
      <w:r w:rsidRPr="00F11B80">
        <w:rPr>
          <w:lang w:val="es-MX"/>
        </w:rPr>
        <w:t>Ethics</w:t>
      </w:r>
      <w:proofErr w:type="spellEnd"/>
      <w:r w:rsidRPr="00F11B80">
        <w:rPr>
          <w:lang w:val="es-MX"/>
        </w:rPr>
        <w:t xml:space="preserve"> [COPE], 2023; International </w:t>
      </w:r>
      <w:proofErr w:type="spellStart"/>
      <w:r w:rsidRPr="00F11B80">
        <w:rPr>
          <w:lang w:val="es-MX"/>
        </w:rPr>
        <w:t>Committee</w:t>
      </w:r>
      <w:proofErr w:type="spellEnd"/>
      <w:r w:rsidRPr="00F11B80">
        <w:rPr>
          <w:lang w:val="es-MX"/>
        </w:rPr>
        <w:t xml:space="preserve"> </w:t>
      </w:r>
      <w:proofErr w:type="spellStart"/>
      <w:r w:rsidRPr="00F11B80">
        <w:rPr>
          <w:lang w:val="es-MX"/>
        </w:rPr>
        <w:t>of</w:t>
      </w:r>
      <w:proofErr w:type="spellEnd"/>
      <w:r w:rsidRPr="00F11B80">
        <w:rPr>
          <w:lang w:val="es-MX"/>
        </w:rPr>
        <w:t xml:space="preserve"> Medical </w:t>
      </w:r>
      <w:proofErr w:type="spellStart"/>
      <w:r w:rsidRPr="00F11B80">
        <w:rPr>
          <w:lang w:val="es-MX"/>
        </w:rPr>
        <w:t>Journal</w:t>
      </w:r>
      <w:proofErr w:type="spellEnd"/>
      <w:r w:rsidRPr="00F11B80">
        <w:rPr>
          <w:lang w:val="es-MX"/>
        </w:rPr>
        <w:t xml:space="preserve"> </w:t>
      </w:r>
      <w:proofErr w:type="spellStart"/>
      <w:r w:rsidRPr="00F11B80">
        <w:rPr>
          <w:lang w:val="es-MX"/>
        </w:rPr>
        <w:t>Editors</w:t>
      </w:r>
      <w:proofErr w:type="spellEnd"/>
      <w:r w:rsidRPr="00F11B80">
        <w:rPr>
          <w:lang w:val="es-MX"/>
        </w:rPr>
        <w:t xml:space="preserve"> [ICMJE], 2026).</w:t>
      </w:r>
    </w:p>
    <w:p w14:paraId="0DA3DD2C" w14:textId="77777777" w:rsidR="00F11B80" w:rsidRPr="00F11B80" w:rsidRDefault="00F11B80" w:rsidP="00F11B80">
      <w:pPr>
        <w:rPr>
          <w:lang w:val="es-MX"/>
        </w:rPr>
      </w:pPr>
      <w:r w:rsidRPr="00F11B80">
        <w:rPr>
          <w:lang w:val="es-MX"/>
        </w:rPr>
        <w:t>El capítulo se organiza en cuatro apartados. El primero estudia la búsqueda y síntesis de información, desde la pregunta y la estrategia hasta la evaluación de fuentes y la revisión reproducible. El segundo analiza la escritura académica asistida, con énfasis en argumentación, citación, revisión y diversidad lingüística. El tercero aborda el análisis de datos cuantitativos, cualitativos y multimodales, junto con prácticas de reproducibilidad y protección. El cuarto desarrolla integridad, autoría y transparencia, incluyendo declaración de uso, responsabilidades y gobernanza. La síntesis final enlaza estas prácticas con la gestión universitaria basada en datos, tema del capítulo siguiente (Page et al., 2021; UNESCO, 2021).</w:t>
      </w:r>
    </w:p>
    <w:p w14:paraId="1DC04C8A" w14:textId="77777777" w:rsidR="00CC0F3E" w:rsidRDefault="00CC0F3E">
      <w:pPr>
        <w:spacing w:before="0" w:after="160" w:line="278" w:lineRule="auto"/>
        <w:jc w:val="left"/>
        <w:rPr>
          <w:b/>
          <w:bCs/>
          <w:lang w:val="es-MX"/>
        </w:rPr>
      </w:pPr>
      <w:r>
        <w:rPr>
          <w:b/>
          <w:bCs/>
          <w:lang w:val="es-MX"/>
        </w:rPr>
        <w:br w:type="page"/>
      </w:r>
    </w:p>
    <w:p w14:paraId="626887F2" w14:textId="30B355F7" w:rsidR="00F11B80" w:rsidRPr="00F11B80" w:rsidRDefault="00F11B80" w:rsidP="00CC0F3E">
      <w:pPr>
        <w:pStyle w:val="Ttulo2"/>
        <w:rPr>
          <w:lang w:val="es-MX"/>
        </w:rPr>
      </w:pPr>
      <w:bookmarkStart w:id="72" w:name="_Toc239440929"/>
      <w:r w:rsidRPr="00F11B80">
        <w:rPr>
          <w:lang w:val="es-MX"/>
        </w:rPr>
        <w:lastRenderedPageBreak/>
        <w:t>Búsqueda y síntesis de información</w:t>
      </w:r>
      <w:bookmarkEnd w:id="72"/>
    </w:p>
    <w:p w14:paraId="5F343A23" w14:textId="1101A0FB" w:rsidR="00F11B80" w:rsidRPr="00F11B80" w:rsidRDefault="00F11B80" w:rsidP="00CC0F3E">
      <w:pPr>
        <w:pStyle w:val="Ttulo3"/>
      </w:pPr>
      <w:bookmarkStart w:id="73" w:name="_Toc239440930"/>
      <w:r w:rsidRPr="00F11B80">
        <w:t>Pregunta, exploración y selección de fuentes</w:t>
      </w:r>
      <w:bookmarkEnd w:id="73"/>
    </w:p>
    <w:p w14:paraId="71A727C7" w14:textId="77777777" w:rsidR="00F11B80" w:rsidRPr="00F11B80" w:rsidRDefault="00F11B80" w:rsidP="00F11B80">
      <w:pPr>
        <w:rPr>
          <w:lang w:val="es-MX"/>
        </w:rPr>
      </w:pPr>
      <w:r w:rsidRPr="00F11B80">
        <w:rPr>
          <w:lang w:val="es-MX"/>
        </w:rPr>
        <w:t>La búsqueda comienza con una pregunta delimitada. Una formulación amplia genera resultados numerosos y difíciles de interpretar, mientras que una pregunta excesivamente estrecha puede excluir evidencia relevante. Los marcos de población, fenómeno, contexto, intervención o resultado ayudan a identificar conceptos, pero deben adaptarse a la disciplina. La inteligencia artificial puede proponer términos y relaciones, aunque también presupone categorías o traduce de forma imprecisa. El investigador redacta la pregunta, explica su alcance y determina qué tipos de estudio podrían responderla. Después utiliza la herramienta para explorar sin delegar la decisión conceptual. La calidad de la búsqueda depende de la claridad del problema y no de la cantidad de documentos recuperados (Booth et al., 2016; Page et al., 2021).</w:t>
      </w:r>
    </w:p>
    <w:p w14:paraId="34AE000B" w14:textId="77777777" w:rsidR="00F11B80" w:rsidRPr="00F11B80" w:rsidRDefault="00F11B80" w:rsidP="00F11B80">
      <w:pPr>
        <w:rPr>
          <w:lang w:val="es-MX"/>
        </w:rPr>
      </w:pPr>
      <w:r w:rsidRPr="00F11B80">
        <w:rPr>
          <w:lang w:val="es-MX"/>
        </w:rPr>
        <w:t>La búsqueda exploratoria permite conocer vocabulario, autores, debates y fuentes. En esta fase, un asistente puede sugerir sinónimos, términos técnicos y líneas de investigación. Sus propuestas se verifican en tesauros, artículos clave y bases especializadas. Conviene conservar un registro de términos aceptados, descartados y modificados. La exploración no debe confundirse con la búsqueda definitiva de una revisión sistemática. Su objetivo es aprender cómo se describe el campo y reconocer posibles sesgos en la pregunta. También ayuda a identificar idiomas y tradiciones que podrían quedar fuera. Una consulta generativa funciona como lluvia de ideas, no como inventario completo del conocimiento (</w:t>
      </w:r>
      <w:proofErr w:type="spellStart"/>
      <w:r w:rsidRPr="00F11B80">
        <w:rPr>
          <w:lang w:val="es-MX"/>
        </w:rPr>
        <w:t>Gusenbauer</w:t>
      </w:r>
      <w:proofErr w:type="spellEnd"/>
      <w:r w:rsidRPr="00F11B80">
        <w:rPr>
          <w:lang w:val="es-MX"/>
        </w:rPr>
        <w:t xml:space="preserve"> &amp; Haddaway, 2020; Miao &amp; Holmes, 2023).</w:t>
      </w:r>
    </w:p>
    <w:p w14:paraId="12447E7D" w14:textId="77777777" w:rsidR="00F11B80" w:rsidRDefault="00F11B80" w:rsidP="00F11B80">
      <w:pPr>
        <w:rPr>
          <w:lang w:val="es-MX"/>
        </w:rPr>
      </w:pPr>
      <w:r w:rsidRPr="00F11B80">
        <w:rPr>
          <w:lang w:val="es-MX"/>
        </w:rPr>
        <w:t>La selección de bases responde al campo y al propósito. No existe una plataforma única que cubra toda la literatura. Las bases bibliográficas difieren en revistas, idiomas, tipos documentales e indización. Los buscadores generales amplían cobertura, pero ofrecen menor control y resultados variables. Una revisión rigurosa combina fuentes pertinentes, repositorios, referencias y, cuando corresponde, literatura gris. La inteligencia artificial integrada en una plataforma puede mejorar descubrimiento semántico, aunque sus criterios de ordenamiento suelen ser opacos. El investigador documenta qué recursos consultó, en qué fechas y con qué límites. La conveniencia de una interfaz no justifica omitir bases esenciales (</w:t>
      </w:r>
      <w:proofErr w:type="spellStart"/>
      <w:r w:rsidRPr="00F11B80">
        <w:rPr>
          <w:lang w:val="es-MX"/>
        </w:rPr>
        <w:t>Gusenbauer</w:t>
      </w:r>
      <w:proofErr w:type="spellEnd"/>
      <w:r w:rsidRPr="00F11B80">
        <w:rPr>
          <w:lang w:val="es-MX"/>
        </w:rPr>
        <w:t xml:space="preserve"> &amp; Haddaway, 2020; Page et al., 2021).</w:t>
      </w:r>
    </w:p>
    <w:p w14:paraId="54CA53B2" w14:textId="27A55B73" w:rsidR="0065432B" w:rsidRPr="00F11B80" w:rsidRDefault="00CB1281" w:rsidP="00F11B80">
      <w:pPr>
        <w:rPr>
          <w:lang w:val="es-MX"/>
        </w:rPr>
      </w:pPr>
      <w:r>
        <w:rPr>
          <w:noProof/>
          <w:lang w:val="es-MX"/>
        </w:rPr>
        <w:lastRenderedPageBreak/>
        <w:drawing>
          <wp:inline distT="0" distB="0" distL="0" distR="0" wp14:anchorId="66F78D4C" wp14:editId="0DB212DD">
            <wp:extent cx="5400675" cy="3600450"/>
            <wp:effectExtent l="0" t="0" r="9525" b="0"/>
            <wp:docPr id="192243885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68B548BD" w14:textId="31F4790A" w:rsidR="00F11B80" w:rsidRPr="00F11B80" w:rsidRDefault="00F11B80" w:rsidP="00CC0F3E">
      <w:pPr>
        <w:pStyle w:val="Ttulo3"/>
        <w:rPr>
          <w:lang w:val="es-MX"/>
        </w:rPr>
      </w:pPr>
      <w:bookmarkStart w:id="74" w:name="_Toc239440931"/>
      <w:r w:rsidRPr="00F11B80">
        <w:rPr>
          <w:lang w:val="es-MX"/>
        </w:rPr>
        <w:t>Estrategias, búsqueda semántica y verificación</w:t>
      </w:r>
      <w:bookmarkEnd w:id="74"/>
    </w:p>
    <w:p w14:paraId="0DB477DE" w14:textId="77777777" w:rsidR="00F11B80" w:rsidRPr="00F11B80" w:rsidRDefault="00F11B80" w:rsidP="00F11B80">
      <w:pPr>
        <w:rPr>
          <w:lang w:val="es-MX"/>
        </w:rPr>
      </w:pPr>
      <w:r w:rsidRPr="00F11B80">
        <w:rPr>
          <w:lang w:val="es-MX"/>
        </w:rPr>
        <w:t>La estrategia traduce conceptos a términos y operadores. Cada base utiliza sintaxis propia, por lo que una consulta debe adaptarse y probarse. Los modelos pueden generar cadenas booleanas, pero suelen introducir campos inexistentes, comillas incorrectas o combinaciones demasiado restrictivas. El investigador verifica la sintaxis y realiza búsquedas piloto con artículos conocidos. Si un estudio clave no aparece, examina términos, cobertura e indexación. La estrategia final conserva versiones y resultados aproximados. En revisiones de alta exigencia, la evaluación por un bibliotecario o especialista mejora sensibilidad y transparencia. La herramienta apoya redacción técnica, pero no reemplaza conocimiento sobre la base (Bramer et al., 2018; Booth et al., 2016).</w:t>
      </w:r>
    </w:p>
    <w:p w14:paraId="5F674721" w14:textId="77777777" w:rsidR="00F11B80" w:rsidRPr="00F11B80" w:rsidRDefault="00F11B80" w:rsidP="00F11B80">
      <w:pPr>
        <w:rPr>
          <w:lang w:val="es-MX"/>
        </w:rPr>
      </w:pPr>
      <w:r w:rsidRPr="00F11B80">
        <w:rPr>
          <w:lang w:val="es-MX"/>
        </w:rPr>
        <w:t>La búsqueda semántica utiliza similitud de significado y puede recuperar documentos que no comparten palabras exactas. Es valiosa en campos con vocabulario variable, pero la relación calculada no equivale a pertinencia científica. Los algoritmos pueden privilegiar textos frecuentes, recientes o disponibles en ciertos idiomas. Por ello, la búsqueda semántica complementa y no sustituye una estrategia reproducible cuando se busca exhaustividad. El investigador combina términos controlados, citas hacia atrás, citas hacia adelante y recomendaciones, y registra el papel de cada método. También contrasta resultados para detectar zonas ausentes. La diversidad de rutas reduce dependencia de un único orden algorítmico (</w:t>
      </w:r>
      <w:proofErr w:type="spellStart"/>
      <w:r w:rsidRPr="00F11B80">
        <w:rPr>
          <w:lang w:val="es-MX"/>
        </w:rPr>
        <w:t>Gusenbauer</w:t>
      </w:r>
      <w:proofErr w:type="spellEnd"/>
      <w:r w:rsidRPr="00F11B80">
        <w:rPr>
          <w:lang w:val="es-MX"/>
        </w:rPr>
        <w:t xml:space="preserve"> &amp; Haddaway, 2020; UNESCO, 2021).</w:t>
      </w:r>
    </w:p>
    <w:p w14:paraId="1820A1C5" w14:textId="77777777" w:rsidR="00F11B80" w:rsidRPr="00F11B80" w:rsidRDefault="00F11B80" w:rsidP="00F11B80">
      <w:pPr>
        <w:rPr>
          <w:lang w:val="es-MX"/>
        </w:rPr>
      </w:pPr>
      <w:r w:rsidRPr="00F11B80">
        <w:rPr>
          <w:lang w:val="es-MX"/>
        </w:rPr>
        <w:lastRenderedPageBreak/>
        <w:t xml:space="preserve">Los asistentes pueden inventar referencias o mezclar datos bibliográficos. Nunca debe copiarse una cita sin localizar el documento original. La verificación incluye autores, título, año, publicación, volumen, páginas, DOI y correspondencia con la afirmación. También se comprueba si existe corrección, retractación o versión posterior. Un DOI válido puede conducir a un artículo distinto, por lo que no basta con que el enlace funcione. El investigador lee la sección relevante y conserva la fuente. Cuando un documento no puede verificarse, se excluye o se declara la limitación. La precisión bibliográfica es parte de la integridad y protege la cadena de evidencia (Miao &amp; Holmes, 2023;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36EAC1CF" w14:textId="77777777" w:rsidR="00F11B80" w:rsidRPr="00F11B80" w:rsidRDefault="00F11B80" w:rsidP="00F11B80">
      <w:pPr>
        <w:rPr>
          <w:lang w:val="es-MX"/>
        </w:rPr>
      </w:pPr>
      <w:r w:rsidRPr="00F11B80">
        <w:rPr>
          <w:lang w:val="es-MX"/>
        </w:rPr>
        <w:t>La evaluación crítica distingue pertinencia, calidad y credibilidad. Un artículo revisado por pares no es verdadero por definición, y un informe institucional puede aportar datos valiosos. Se examinan diseño, muestra, medición, análisis, conflictos, limitaciones y relación entre resultados y conclusiones. Una herramienta puede extraer campos o formular preguntas, pero no comprende completamente el contexto disciplinar. El investigador contrasta su resumen con tablas, métodos y anexos. También evita que la clasificación automática transforme juicios complejos en una puntuación sin explicación. Las listas de comprobación ayudan, aunque el criterio final requiere lectura informada (Booth et al., 2016; Snyder, 2019).</w:t>
      </w:r>
    </w:p>
    <w:p w14:paraId="6719E15D" w14:textId="34E753C7" w:rsidR="00F11B80" w:rsidRPr="00F11B80" w:rsidRDefault="00F11B80" w:rsidP="00F11B80">
      <w:pPr>
        <w:rPr>
          <w:lang w:val="es-MX"/>
        </w:rPr>
      </w:pPr>
      <w:r w:rsidRPr="00F11B80">
        <w:rPr>
          <w:b/>
          <w:bCs/>
          <w:lang w:val="es-MX"/>
        </w:rPr>
        <w:t xml:space="preserve">Tabla </w:t>
      </w:r>
      <w:r w:rsidR="00FA6F60">
        <w:rPr>
          <w:b/>
          <w:bCs/>
          <w:lang w:val="es-MX"/>
        </w:rPr>
        <w:t>4</w:t>
      </w:r>
      <w:r w:rsidRPr="00F11B80">
        <w:rPr>
          <w:b/>
          <w:bCs/>
          <w:lang w:val="es-MX"/>
        </w:rPr>
        <w:t>.1. Controles para una búsqueda asistida y verificable</w:t>
      </w:r>
    </w:p>
    <w:tbl>
      <w:tblPr>
        <w:tblStyle w:val="Tablanormal2"/>
        <w:tblW w:w="8392" w:type="dxa"/>
        <w:tblLook w:val="04A0" w:firstRow="1" w:lastRow="0" w:firstColumn="1" w:lastColumn="0" w:noHBand="0" w:noVBand="1"/>
      </w:tblPr>
      <w:tblGrid>
        <w:gridCol w:w="2098"/>
        <w:gridCol w:w="2098"/>
        <w:gridCol w:w="2098"/>
        <w:gridCol w:w="2098"/>
      </w:tblGrid>
      <w:tr w:rsidR="00F11B80" w:rsidRPr="00F11B80" w14:paraId="10189793" w14:textId="77777777" w:rsidTr="00CC0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6E78B58" w14:textId="77777777" w:rsidR="00F11B80" w:rsidRPr="00CC0F3E" w:rsidRDefault="00F11B80" w:rsidP="00CC0F3E">
            <w:pPr>
              <w:spacing w:before="0" w:after="0" w:line="240" w:lineRule="auto"/>
              <w:jc w:val="center"/>
              <w:rPr>
                <w:sz w:val="20"/>
                <w:szCs w:val="20"/>
                <w:lang w:val="es-MX"/>
              </w:rPr>
            </w:pPr>
            <w:r w:rsidRPr="00CC0F3E">
              <w:rPr>
                <w:sz w:val="20"/>
                <w:szCs w:val="20"/>
                <w:lang w:val="es-MX"/>
              </w:rPr>
              <w:t>Etapa</w:t>
            </w:r>
          </w:p>
        </w:tc>
        <w:tc>
          <w:tcPr>
            <w:tcW w:w="2098" w:type="dxa"/>
            <w:vAlign w:val="center"/>
            <w:hideMark/>
          </w:tcPr>
          <w:p w14:paraId="5BD991A6"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Aporte posible de la IA</w:t>
            </w:r>
          </w:p>
        </w:tc>
        <w:tc>
          <w:tcPr>
            <w:tcW w:w="2098" w:type="dxa"/>
            <w:vAlign w:val="center"/>
            <w:hideMark/>
          </w:tcPr>
          <w:p w14:paraId="44B56F9C"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Control humano</w:t>
            </w:r>
          </w:p>
        </w:tc>
        <w:tc>
          <w:tcPr>
            <w:tcW w:w="2098" w:type="dxa"/>
            <w:vAlign w:val="center"/>
            <w:hideMark/>
          </w:tcPr>
          <w:p w14:paraId="7F87997F"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Evidencia documental</w:t>
            </w:r>
          </w:p>
        </w:tc>
      </w:tr>
      <w:tr w:rsidR="00F11B80" w:rsidRPr="00F11B80" w14:paraId="2653117E" w14:textId="77777777" w:rsidTr="00CC0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A7B8E63" w14:textId="77777777" w:rsidR="00F11B80" w:rsidRPr="00CC0F3E" w:rsidRDefault="00F11B80" w:rsidP="00CC0F3E">
            <w:pPr>
              <w:spacing w:before="0" w:after="0" w:line="240" w:lineRule="auto"/>
              <w:rPr>
                <w:sz w:val="20"/>
                <w:szCs w:val="20"/>
                <w:lang w:val="es-MX"/>
              </w:rPr>
            </w:pPr>
            <w:r w:rsidRPr="00CC0F3E">
              <w:rPr>
                <w:sz w:val="20"/>
                <w:szCs w:val="20"/>
                <w:lang w:val="es-MX"/>
              </w:rPr>
              <w:t>Delimitación</w:t>
            </w:r>
          </w:p>
        </w:tc>
        <w:tc>
          <w:tcPr>
            <w:tcW w:w="2098" w:type="dxa"/>
            <w:vAlign w:val="center"/>
            <w:hideMark/>
          </w:tcPr>
          <w:p w14:paraId="11123759"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Sugiere conceptos y sinónimos</w:t>
            </w:r>
          </w:p>
        </w:tc>
        <w:tc>
          <w:tcPr>
            <w:tcW w:w="2098" w:type="dxa"/>
            <w:vAlign w:val="center"/>
            <w:hideMark/>
          </w:tcPr>
          <w:p w14:paraId="02E1FA79"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Define pregunta, alcance y criterios</w:t>
            </w:r>
          </w:p>
        </w:tc>
        <w:tc>
          <w:tcPr>
            <w:tcW w:w="2098" w:type="dxa"/>
            <w:vAlign w:val="center"/>
            <w:hideMark/>
          </w:tcPr>
          <w:p w14:paraId="32529CB8"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Protocolo o plan de búsqueda</w:t>
            </w:r>
          </w:p>
        </w:tc>
      </w:tr>
      <w:tr w:rsidR="00F11B80" w:rsidRPr="00F11B80" w14:paraId="60E58247" w14:textId="77777777" w:rsidTr="00CC0F3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BD2E6AA" w14:textId="77777777" w:rsidR="00F11B80" w:rsidRPr="00CC0F3E" w:rsidRDefault="00F11B80" w:rsidP="00CC0F3E">
            <w:pPr>
              <w:spacing w:before="0" w:after="0" w:line="240" w:lineRule="auto"/>
              <w:rPr>
                <w:sz w:val="20"/>
                <w:szCs w:val="20"/>
                <w:lang w:val="es-MX"/>
              </w:rPr>
            </w:pPr>
            <w:r w:rsidRPr="00CC0F3E">
              <w:rPr>
                <w:sz w:val="20"/>
                <w:szCs w:val="20"/>
                <w:lang w:val="es-MX"/>
              </w:rPr>
              <w:t>Recuperación</w:t>
            </w:r>
          </w:p>
        </w:tc>
        <w:tc>
          <w:tcPr>
            <w:tcW w:w="2098" w:type="dxa"/>
            <w:vAlign w:val="center"/>
            <w:hideMark/>
          </w:tcPr>
          <w:p w14:paraId="44E7E412"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Propone consultas y ordena resultados</w:t>
            </w:r>
          </w:p>
        </w:tc>
        <w:tc>
          <w:tcPr>
            <w:tcW w:w="2098" w:type="dxa"/>
            <w:vAlign w:val="center"/>
            <w:hideMark/>
          </w:tcPr>
          <w:p w14:paraId="0F2557FD"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Adapta sintaxis y revisa cobertura</w:t>
            </w:r>
          </w:p>
        </w:tc>
        <w:tc>
          <w:tcPr>
            <w:tcW w:w="2098" w:type="dxa"/>
            <w:vAlign w:val="center"/>
            <w:hideMark/>
          </w:tcPr>
          <w:p w14:paraId="26AD4966"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Estrategias por base y fecha</w:t>
            </w:r>
          </w:p>
        </w:tc>
      </w:tr>
      <w:tr w:rsidR="00F11B80" w:rsidRPr="00F11B80" w14:paraId="03691CB8" w14:textId="77777777" w:rsidTr="00CC0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FC3CEC9" w14:textId="77777777" w:rsidR="00F11B80" w:rsidRPr="00CC0F3E" w:rsidRDefault="00F11B80" w:rsidP="00CC0F3E">
            <w:pPr>
              <w:spacing w:before="0" w:after="0" w:line="240" w:lineRule="auto"/>
              <w:rPr>
                <w:sz w:val="20"/>
                <w:szCs w:val="20"/>
                <w:lang w:val="es-MX"/>
              </w:rPr>
            </w:pPr>
            <w:r w:rsidRPr="00CC0F3E">
              <w:rPr>
                <w:sz w:val="20"/>
                <w:szCs w:val="20"/>
                <w:lang w:val="es-MX"/>
              </w:rPr>
              <w:t>Cribado</w:t>
            </w:r>
          </w:p>
        </w:tc>
        <w:tc>
          <w:tcPr>
            <w:tcW w:w="2098" w:type="dxa"/>
            <w:vAlign w:val="center"/>
            <w:hideMark/>
          </w:tcPr>
          <w:p w14:paraId="75E0CB8F"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Prioriza registros probables</w:t>
            </w:r>
          </w:p>
        </w:tc>
        <w:tc>
          <w:tcPr>
            <w:tcW w:w="2098" w:type="dxa"/>
            <w:vAlign w:val="center"/>
            <w:hideMark/>
          </w:tcPr>
          <w:p w14:paraId="4BEE2549"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Aplica criterios y resuelve discrepancias</w:t>
            </w:r>
          </w:p>
        </w:tc>
        <w:tc>
          <w:tcPr>
            <w:tcW w:w="2098" w:type="dxa"/>
            <w:vAlign w:val="center"/>
            <w:hideMark/>
          </w:tcPr>
          <w:p w14:paraId="0A193093"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Decisiones de inclusión y exclusión</w:t>
            </w:r>
          </w:p>
        </w:tc>
      </w:tr>
      <w:tr w:rsidR="00F11B80" w:rsidRPr="00F11B80" w14:paraId="13A47DFE" w14:textId="77777777" w:rsidTr="00CC0F3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27F83DA" w14:textId="77777777" w:rsidR="00F11B80" w:rsidRPr="00CC0F3E" w:rsidRDefault="00F11B80" w:rsidP="00CC0F3E">
            <w:pPr>
              <w:spacing w:before="0" w:after="0" w:line="240" w:lineRule="auto"/>
              <w:rPr>
                <w:sz w:val="20"/>
                <w:szCs w:val="20"/>
                <w:lang w:val="es-MX"/>
              </w:rPr>
            </w:pPr>
            <w:r w:rsidRPr="00CC0F3E">
              <w:rPr>
                <w:sz w:val="20"/>
                <w:szCs w:val="20"/>
                <w:lang w:val="es-MX"/>
              </w:rPr>
              <w:t>Síntesis</w:t>
            </w:r>
          </w:p>
        </w:tc>
        <w:tc>
          <w:tcPr>
            <w:tcW w:w="2098" w:type="dxa"/>
            <w:vAlign w:val="center"/>
            <w:hideMark/>
          </w:tcPr>
          <w:p w14:paraId="20F22733"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Agrupa temas y extrae fragmentos</w:t>
            </w:r>
          </w:p>
        </w:tc>
        <w:tc>
          <w:tcPr>
            <w:tcW w:w="2098" w:type="dxa"/>
            <w:vAlign w:val="center"/>
            <w:hideMark/>
          </w:tcPr>
          <w:p w14:paraId="04D6A3AD"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Contrasta cada afirmación con la fuente</w:t>
            </w:r>
          </w:p>
        </w:tc>
        <w:tc>
          <w:tcPr>
            <w:tcW w:w="2098" w:type="dxa"/>
            <w:vAlign w:val="center"/>
            <w:hideMark/>
          </w:tcPr>
          <w:p w14:paraId="3951D6A6"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Matriz de evidencia y verificaciones</w:t>
            </w:r>
          </w:p>
        </w:tc>
      </w:tr>
    </w:tbl>
    <w:p w14:paraId="28822B07" w14:textId="77777777" w:rsidR="00F11B80" w:rsidRPr="00F11B80" w:rsidRDefault="00F11B80" w:rsidP="00F11B80">
      <w:pPr>
        <w:rPr>
          <w:lang w:val="es-MX"/>
        </w:rPr>
      </w:pPr>
      <w:r w:rsidRPr="00F11B80">
        <w:rPr>
          <w:i/>
          <w:iCs/>
          <w:lang w:val="es-MX"/>
        </w:rPr>
        <w:t>Fuente: elaboración propia a partir de las referencias citadas en el apartado.</w:t>
      </w:r>
    </w:p>
    <w:p w14:paraId="24B97666" w14:textId="331E40F0" w:rsidR="00F11B80" w:rsidRPr="00F11B80" w:rsidRDefault="00F11B80" w:rsidP="00CC0F3E">
      <w:pPr>
        <w:pStyle w:val="Ttulo3"/>
        <w:rPr>
          <w:lang w:val="es-MX"/>
        </w:rPr>
      </w:pPr>
      <w:bookmarkStart w:id="75" w:name="_Toc239440932"/>
      <w:r w:rsidRPr="00F11B80">
        <w:rPr>
          <w:lang w:val="es-MX"/>
        </w:rPr>
        <w:t xml:space="preserve">Cribado, </w:t>
      </w:r>
      <w:proofErr w:type="spellStart"/>
      <w:r w:rsidRPr="00F11B80">
        <w:rPr>
          <w:lang w:val="es-MX"/>
        </w:rPr>
        <w:t>deduplicación</w:t>
      </w:r>
      <w:proofErr w:type="spellEnd"/>
      <w:r w:rsidRPr="00F11B80">
        <w:rPr>
          <w:lang w:val="es-MX"/>
        </w:rPr>
        <w:t xml:space="preserve"> y extracción de evidencia</w:t>
      </w:r>
      <w:bookmarkEnd w:id="75"/>
    </w:p>
    <w:p w14:paraId="79FFEC23" w14:textId="77777777" w:rsidR="00F11B80" w:rsidRPr="00F11B80" w:rsidRDefault="00F11B80" w:rsidP="00F11B80">
      <w:pPr>
        <w:rPr>
          <w:lang w:val="es-MX"/>
        </w:rPr>
      </w:pPr>
      <w:r w:rsidRPr="00F11B80">
        <w:rPr>
          <w:lang w:val="es-MX"/>
        </w:rPr>
        <w:t xml:space="preserve">El cribado de títulos y resúmenes puede acelerarse con sistemas de priorización. Estos aprenden de decisiones iniciales y ordenan registros probables. El beneficio es revisar primero lo relevante, no excluir automáticamente lo restante. Si las primeras etiquetas contienen sesgo, el sistema lo amplifica. Por eso se define un conjunto piloto, se calibra a revisores y se mide qué estudios omite. En revisiones sistemáticas, las exclusiones importantes requieren comprobación y registro. El investigador conserva criterios previos y una vía para recuperar documentos. La inteligencia artificial funciona como apoyo al orden, mientras la decisión de inclusión permanece trazable y humana (Page et al., 2021; van de </w:t>
      </w:r>
      <w:proofErr w:type="spellStart"/>
      <w:r w:rsidRPr="00F11B80">
        <w:rPr>
          <w:lang w:val="es-MX"/>
        </w:rPr>
        <w:t>Schoot</w:t>
      </w:r>
      <w:proofErr w:type="spellEnd"/>
      <w:r w:rsidRPr="00F11B80">
        <w:rPr>
          <w:lang w:val="es-MX"/>
        </w:rPr>
        <w:t xml:space="preserve"> et al., 2021).</w:t>
      </w:r>
    </w:p>
    <w:p w14:paraId="6A12E6AF" w14:textId="77777777" w:rsidR="00F11B80" w:rsidRPr="00F11B80" w:rsidRDefault="00F11B80" w:rsidP="00F11B80">
      <w:pPr>
        <w:rPr>
          <w:lang w:val="es-MX"/>
        </w:rPr>
      </w:pPr>
      <w:r w:rsidRPr="00F11B80">
        <w:rPr>
          <w:lang w:val="es-MX"/>
        </w:rPr>
        <w:lastRenderedPageBreak/>
        <w:t xml:space="preserve">La </w:t>
      </w:r>
      <w:proofErr w:type="spellStart"/>
      <w:r w:rsidRPr="00F11B80">
        <w:rPr>
          <w:lang w:val="es-MX"/>
        </w:rPr>
        <w:t>deduplicación</w:t>
      </w:r>
      <w:proofErr w:type="spellEnd"/>
      <w:r w:rsidRPr="00F11B80">
        <w:rPr>
          <w:lang w:val="es-MX"/>
        </w:rPr>
        <w:t xml:space="preserve"> identifica registros repetidos obtenidos en varias fuentes. Las coincidencias exactas son sencillas, pero diferencias en autores, títulos o DOI generan duplicados difíciles. Los algoritmos pueden comparar cadenas y proponer pares, aunque una fusión incorrecta elimina estudios distintos. El equipo revisa casos ambiguos y conserva un registro del número inicial, duplicados retirados y conjunto final. La limpieza también normaliza campos sin alterar información sustantiva. Esta tarea parece administrativa, pero afecta el diagrama de selección y la reproducibilidad. La automatización debe permitir deshacer y auditar decisiones (Bramer et al., 2016; Page et al., 2021).</w:t>
      </w:r>
    </w:p>
    <w:p w14:paraId="7228BE08" w14:textId="77777777" w:rsidR="00F11B80" w:rsidRPr="00F11B80" w:rsidRDefault="00F11B80" w:rsidP="00F11B80">
      <w:pPr>
        <w:rPr>
          <w:lang w:val="es-MX"/>
        </w:rPr>
      </w:pPr>
      <w:r w:rsidRPr="00F11B80">
        <w:rPr>
          <w:lang w:val="es-MX"/>
        </w:rPr>
        <w:t>La extracción organiza características, métodos y resultados. Un modelo puede identificar fragmentos, pero confunde con facilidad población analizada, muestra inicial, resultados principales y secundarios. La plantilla se diseña antes, se prueba con varios estudios y contiene reglas. Dos personas pueden verificar una muestra o los campos críticos. Cada dato mantiene vínculo con página, tabla o sección. Si la herramienta resume, se conserva el texto fuente y se marca incertidumbre. No se deben rellenar vacíos mediante inferencia generativa. Ausencia de información se registra como tal. Una matriz bien documentada sostiene síntesis y correcciones posteriores (Higgins et al., 2023; Page et al., 2021).</w:t>
      </w:r>
    </w:p>
    <w:p w14:paraId="200F3FC8" w14:textId="2E4059B6" w:rsidR="00F11B80" w:rsidRPr="00F11B80" w:rsidRDefault="00F11B80" w:rsidP="00CC0F3E">
      <w:pPr>
        <w:pStyle w:val="Ttulo3"/>
        <w:rPr>
          <w:lang w:val="es-MX"/>
        </w:rPr>
      </w:pPr>
      <w:bookmarkStart w:id="76" w:name="_Toc239440933"/>
      <w:r w:rsidRPr="00F11B80">
        <w:rPr>
          <w:lang w:val="es-MX"/>
        </w:rPr>
        <w:t>Síntesis narrativa, cuantitativa y actualización</w:t>
      </w:r>
      <w:bookmarkEnd w:id="76"/>
    </w:p>
    <w:p w14:paraId="040E8D56" w14:textId="77777777" w:rsidR="00F11B80" w:rsidRPr="00F11B80" w:rsidRDefault="00F11B80" w:rsidP="00F11B80">
      <w:pPr>
        <w:rPr>
          <w:lang w:val="es-MX"/>
        </w:rPr>
      </w:pPr>
      <w:r w:rsidRPr="00F11B80">
        <w:rPr>
          <w:lang w:val="es-MX"/>
        </w:rPr>
        <w:t>La síntesis narrativa organiza estudios para explicar patrones, diferencias y límites. No consiste en concatenar resúmenes. El investigador construye categorías justificadas, compara métodos y valora peso de evidencia. La inteligencia artificial puede agrupar temas o proponer estructuras, pero tiende a homogeneizar desacuerdos y exagerar consenso. La salida se utiliza como hipótesis de organización y se contrasta con la matriz. Se buscan casos negativos, resultados nulos y explicaciones alternativas. Cada afirmación de síntesis debe poder rastrearse a fuentes. La claridad narrativa no debe borrar heterogeneidad (Snyder, 2019; Booth et al., 2016).</w:t>
      </w:r>
    </w:p>
    <w:p w14:paraId="3D50E021" w14:textId="77777777" w:rsidR="00F11B80" w:rsidRPr="00F11B80" w:rsidRDefault="00F11B80" w:rsidP="00F11B80">
      <w:pPr>
        <w:rPr>
          <w:lang w:val="es-MX"/>
        </w:rPr>
      </w:pPr>
      <w:r w:rsidRPr="00F11B80">
        <w:rPr>
          <w:lang w:val="es-MX"/>
        </w:rPr>
        <w:t>La síntesis cuantitativa requiere compatibilidad de estimaciones, poblaciones y diseños. Un modelo generativo no debe decidir automáticamente qué combinar. El equipo define medidas, transforma datos, examina heterogeneidad y justifica el modelo. Los cálculos se realizan con software estadístico reproducible y se verifican. La inteligencia artificial puede explicar código o detectar inconsistencias, pero cualquier línea se prueba con datos conocidos. La interpretación considera incertidumbre, sesgo de publicación y calidad de estudios. Un resultado agregado preciso no corrige evidencia primaria débil. Cuando no procede combinar, una síntesis estructurada es más honesta (Higgins et al., 2023; Wasserstein et al., 2019).</w:t>
      </w:r>
    </w:p>
    <w:p w14:paraId="62B31B31" w14:textId="77777777" w:rsidR="00F11B80" w:rsidRPr="00F11B80" w:rsidRDefault="00F11B80" w:rsidP="00F11B80">
      <w:pPr>
        <w:rPr>
          <w:lang w:val="es-MX"/>
        </w:rPr>
      </w:pPr>
      <w:r w:rsidRPr="00F11B80">
        <w:rPr>
          <w:lang w:val="es-MX"/>
        </w:rPr>
        <w:t xml:space="preserve">La búsqueda se actualiza porque la evidencia cambia. Se establece una fecha de cierre y, si el proyecto se prolonga, una actualización antes de publicar. Alertas y agentes pueden vigilar nuevas referencias, pero necesitan criterios y revisión. La automatización no debe incorporar </w:t>
      </w:r>
      <w:r w:rsidRPr="00F11B80">
        <w:rPr>
          <w:lang w:val="es-MX"/>
        </w:rPr>
        <w:lastRenderedPageBreak/>
        <w:t>silenciosamente estudios a una síntesis ya analizada. Cada actualización registra fecha, fuentes y cambios. En revisiones vivas, se definen frecuencia, responsabilidades y umbrales. La sostenibilidad importa, porque una promesa de actualización permanente puede resultar inviable. La transparencia permite comprender qué conocimiento estaba disponible al tomar decisiones (Page et al., 2021; OECD, 2026).</w:t>
      </w:r>
    </w:p>
    <w:p w14:paraId="0C271267" w14:textId="19763735" w:rsidR="00F11B80" w:rsidRPr="00F11B80" w:rsidRDefault="00F11B80" w:rsidP="00CC0F3E">
      <w:pPr>
        <w:pStyle w:val="Ttulo3"/>
        <w:rPr>
          <w:lang w:val="es-MX"/>
        </w:rPr>
      </w:pPr>
      <w:bookmarkStart w:id="77" w:name="_Toc239440934"/>
      <w:r w:rsidRPr="00F11B80">
        <w:rPr>
          <w:lang w:val="es-MX"/>
        </w:rPr>
        <w:t>Gestión bibliográfica, transparencia y control de fuentes</w:t>
      </w:r>
      <w:bookmarkEnd w:id="77"/>
    </w:p>
    <w:p w14:paraId="51F9A699" w14:textId="77777777" w:rsidR="00F11B80" w:rsidRPr="00F11B80" w:rsidRDefault="00F11B80" w:rsidP="00F11B80">
      <w:pPr>
        <w:rPr>
          <w:lang w:val="es-MX"/>
        </w:rPr>
      </w:pPr>
      <w:r w:rsidRPr="00F11B80">
        <w:rPr>
          <w:lang w:val="es-MX"/>
        </w:rPr>
        <w:t xml:space="preserve">La gestión bibliográfica organiza fuentes, notas y versiones. Los gestores reducen errores, pero los metadatos importados deben revisarse. Una referencia automática puede contener mayúsculas, nombres o tipos incorrectos. Las notas deben distinguir cita textual, paráfrasis e interpretación propia. También conviene vincular cada afirmación importante con su fuente durante la escritura, en lugar de reconstruir citas al final. Los archivos se nombran de forma coherente y se respaldan. La inteligencia artificial puede ayudar a clasificar, pero no debería recibir documentos confidenciales en servicios no autorizados. Una biblioteca ordenada hace posible verificar y actualizar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Wilkinson et al., 2016).</w:t>
      </w:r>
    </w:p>
    <w:p w14:paraId="717929B9" w14:textId="77777777" w:rsidR="00F11B80" w:rsidRPr="00F11B80" w:rsidRDefault="00F11B80" w:rsidP="00F11B80">
      <w:pPr>
        <w:rPr>
          <w:lang w:val="es-MX"/>
        </w:rPr>
      </w:pPr>
      <w:r w:rsidRPr="00F11B80">
        <w:rPr>
          <w:lang w:val="es-MX"/>
        </w:rPr>
        <w:t>La transparencia de la revisión incluye protocolo, criterios, estrategias, diagrama y limitaciones. PRISMA ofrece una guía para revisiones sistemáticas, pero no convierte cualquier búsqueda en sistemática. Las revisiones narrativas, de alcance o integrativas poseen propósitos diferentes y deben nombrarse con precisión. Si se utilizó inteligencia artificial para priorizar, extraer o sintetizar, se describe herramienta, versión, fecha, función y supervisión. La declaración permite evaluar el método y reproducir en la medida posible. Ocultar la asistencia impide distinguir decisiones humanas de operaciones automáticas (Page et al., 2021; Miao &amp; Holmes, 2023).</w:t>
      </w:r>
    </w:p>
    <w:p w14:paraId="50429EDC" w14:textId="77777777" w:rsidR="00F11B80" w:rsidRPr="00F11B80" w:rsidRDefault="00F11B80" w:rsidP="00F11B80">
      <w:pPr>
        <w:rPr>
          <w:lang w:val="es-MX"/>
        </w:rPr>
      </w:pPr>
      <w:r w:rsidRPr="00F11B80">
        <w:rPr>
          <w:lang w:val="es-MX"/>
        </w:rPr>
        <w:t>La búsqueda de literatura gris puede reducir sesgo de publicación al incluir tesis, informes, actas y registros. Estos documentos presentan desafíos de localización, estabilidad y evaluación. Un asistente puede sugerir organismos y repositorios, pero sus listas no garantizan cobertura. El investigador define qué tipos son pertinentes, consulta fuentes oficiales y registra rutas. También comprueba versiones, porque un informe preliminar puede diferir del final. La ausencia de revisión por pares no implica exclusión automática, pero exige examinar método, autoría e intereses. En campos aplicados, la literatura gris puede contener evidencia decisiva que no llega a revistas (Higgins et al., 2023; Booth et al., 2016).</w:t>
      </w:r>
    </w:p>
    <w:p w14:paraId="26D5331E" w14:textId="77777777" w:rsidR="00F11B80" w:rsidRPr="00F11B80" w:rsidRDefault="00F11B80" w:rsidP="00F11B80">
      <w:pPr>
        <w:rPr>
          <w:lang w:val="es-MX"/>
        </w:rPr>
      </w:pPr>
      <w:r w:rsidRPr="00F11B80">
        <w:rPr>
          <w:lang w:val="es-MX"/>
        </w:rPr>
        <w:t xml:space="preserve">La evaluación de retractaciones y correcciones debe formar parte del control de fuentes. Los gestores y bases no siempre actualizan simultáneamente. Antes de utilizar un resultado relevante, se revisa la página editorial y, cuando corresponde, registros de retractación. Una corrección puede modificar una cifra sin invalidar el estudio, mientras que una retractación exige comprender la razón y no usar el trabajo como evidencia fiable. Los sistemas generativos pueden seguir reproduciendo afirmaciones retiradas. El investigador documenta el estado de la fuente y actualiza </w:t>
      </w:r>
      <w:r w:rsidRPr="00F11B80">
        <w:rPr>
          <w:lang w:val="es-MX"/>
        </w:rPr>
        <w:lastRenderedPageBreak/>
        <w:t>su matriz. Esta práctica protege la síntesis frente a conocimiento obsoleto o desacreditado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COPE, 2023).</w:t>
      </w:r>
    </w:p>
    <w:p w14:paraId="5C16CD87" w14:textId="77777777" w:rsidR="00F11B80" w:rsidRPr="00F11B80" w:rsidRDefault="00F11B80" w:rsidP="00F11B80">
      <w:pPr>
        <w:rPr>
          <w:lang w:val="es-MX"/>
        </w:rPr>
      </w:pPr>
      <w:r w:rsidRPr="00F11B80">
        <w:rPr>
          <w:lang w:val="es-MX"/>
        </w:rPr>
        <w:t>La síntesis asistida debe someterse a pruebas de cobertura y fidelidad. El equipo selecciona una muestra de estudios y compara cada afirmación generada con el texto. Registra omisiones, contradicciones, exageraciones y citas incorrectas. También evalúa si el sistema privilegia resultados positivos o países dominantes. Si la tasa de error es alta, limita o retira la función. Una buena síntesis no es la que suena coherente, sino la que representa diversidad y conserva relaciones con fuentes. La revisión humana se concentra en decisiones sustantivas y no solo en corregir gramática (Bender et al., 2021; Miao &amp; Holmes, 2023).</w:t>
      </w:r>
    </w:p>
    <w:p w14:paraId="467F5426" w14:textId="36A1B9A2" w:rsidR="00F11B80" w:rsidRPr="00F11B80" w:rsidRDefault="00F11B80" w:rsidP="00CC0F3E">
      <w:pPr>
        <w:pStyle w:val="Ttulo2"/>
        <w:rPr>
          <w:lang w:val="es-MX"/>
        </w:rPr>
      </w:pPr>
      <w:bookmarkStart w:id="78" w:name="_Toc239440935"/>
      <w:r w:rsidRPr="00F11B80">
        <w:rPr>
          <w:lang w:val="es-MX"/>
        </w:rPr>
        <w:t>Apoyo a la escritura académica</w:t>
      </w:r>
      <w:bookmarkEnd w:id="78"/>
    </w:p>
    <w:p w14:paraId="1DCC145E" w14:textId="60E2D201" w:rsidR="00F11B80" w:rsidRPr="00F11B80" w:rsidRDefault="00F11B80" w:rsidP="00CC0F3E">
      <w:pPr>
        <w:pStyle w:val="Ttulo3"/>
        <w:rPr>
          <w:lang w:val="es-MX"/>
        </w:rPr>
      </w:pPr>
      <w:bookmarkStart w:id="79" w:name="_Toc239440936"/>
      <w:r w:rsidRPr="00F11B80">
        <w:rPr>
          <w:lang w:val="es-MX"/>
        </w:rPr>
        <w:t>Planificación, argumentación y coherencia académica</w:t>
      </w:r>
      <w:bookmarkEnd w:id="79"/>
    </w:p>
    <w:p w14:paraId="39361677" w14:textId="77777777" w:rsidR="00F11B80" w:rsidRPr="00F11B80" w:rsidRDefault="00F11B80" w:rsidP="00F11B80">
      <w:pPr>
        <w:rPr>
          <w:lang w:val="es-MX"/>
        </w:rPr>
      </w:pPr>
      <w:r w:rsidRPr="00F11B80">
        <w:rPr>
          <w:lang w:val="es-MX"/>
        </w:rPr>
        <w:t xml:space="preserve">La escritura académica es una práctica de razonamiento y comunicación. Organiza preguntas, evidencia, métodos y conclusiones para una comunidad. Un sistema generativo puede proponer esquemas, reformular oraciones o revisar coherencia, pero no asume la responsabilidad intelectual. El investigador define la tesis, selecciona evidencia y decide el alcance. Utilizar la herramienta para producir un texto completo antes de pensar puede fijar una estructura superficial y dificultar reconocer errores. Es preferible construir primero un mapa de argumentos, fuentes y contribución, y luego solicitar apoyos delimitados. La escritura conserva así su función epistémica, porque redactar también permite descubrir lo que todavía no se comprende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Miao &amp; Holmes, 2023).</w:t>
      </w:r>
    </w:p>
    <w:p w14:paraId="6B08B589" w14:textId="77777777" w:rsidR="00F11B80" w:rsidRPr="00F11B80" w:rsidRDefault="00F11B80" w:rsidP="00F11B80">
      <w:pPr>
        <w:rPr>
          <w:lang w:val="es-MX"/>
        </w:rPr>
      </w:pPr>
      <w:r w:rsidRPr="00F11B80">
        <w:rPr>
          <w:lang w:val="es-MX"/>
        </w:rPr>
        <w:t xml:space="preserve">La planificación distingue audiencia, género, propósito y normas. Un artículo, informe técnico, protocolo o tesis organiza información de manera diferente. La inteligencia artificial puede analizar instrucciones editoriales, pero se verifica con la fuente oficial. El investigador crea un esquema que relaciona cada sección con preguntas y evidencia. En un artículo empírico, la introducción justifica el problema, el método permite comprender el procedimiento, los resultados presentan hallazgos y la discusión interpreta. El modelo puede sugerir subtítulos, aunque la arquitectura final debe reflejar la investigación real. No se inventan secciones para completar una plantilla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xml:space="preserve">, 2020;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48292E99" w14:textId="77777777" w:rsidR="00F11B80" w:rsidRDefault="00F11B80" w:rsidP="00F11B80">
      <w:pPr>
        <w:rPr>
          <w:lang w:val="es-MX"/>
        </w:rPr>
      </w:pPr>
      <w:r w:rsidRPr="00F11B80">
        <w:rPr>
          <w:lang w:val="es-MX"/>
        </w:rPr>
        <w:t xml:space="preserve">La formulación del argumento exige distinguir afirmación, evidencia y razonamiento. Los textos generativos suelen producir transiciones fluidas que ocultan saltos lógicos. Cada párrafo debe cumplir una función y relacionarse con la pregunta. El investigador puede pedir al sistema que identifique supuestos o contraargumentos, pero comprueba si son pertinentes. Una técnica útil consiste en resumir cada párrafo en una frase y revisar la secuencia. Otra es construir una tabla que vincule afirmaciones con fuentes. Si una idea carece de respaldo, se investiga, se limita o se </w:t>
      </w:r>
      <w:r w:rsidRPr="00F11B80">
        <w:rPr>
          <w:lang w:val="es-MX"/>
        </w:rPr>
        <w:lastRenderedPageBreak/>
        <w:t xml:space="preserve">elimina. La persuasión académica no depende de seguridad retórica, sino de evidencia y apertura a revisión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Bender et al., 2021).</w:t>
      </w:r>
    </w:p>
    <w:p w14:paraId="54212162" w14:textId="7557561C" w:rsidR="003C6A13" w:rsidRPr="00F11B80" w:rsidRDefault="004F28DB" w:rsidP="00F11B80">
      <w:pPr>
        <w:rPr>
          <w:lang w:val="es-MX"/>
        </w:rPr>
      </w:pPr>
      <w:r>
        <w:rPr>
          <w:noProof/>
          <w:lang w:val="es-MX"/>
        </w:rPr>
        <w:drawing>
          <wp:inline distT="0" distB="0" distL="0" distR="0" wp14:anchorId="61540957" wp14:editId="328F75D8">
            <wp:extent cx="5400675" cy="3600450"/>
            <wp:effectExtent l="0" t="0" r="9525" b="0"/>
            <wp:docPr id="168890561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6EED77B9" w14:textId="109873E9" w:rsidR="00F11B80" w:rsidRPr="00F11B80" w:rsidRDefault="00F11B80" w:rsidP="00CC0F3E">
      <w:pPr>
        <w:pStyle w:val="Ttulo3"/>
        <w:rPr>
          <w:lang w:val="es-MX"/>
        </w:rPr>
      </w:pPr>
      <w:bookmarkStart w:id="80" w:name="_Toc239440937"/>
      <w:r w:rsidRPr="00F11B80">
        <w:rPr>
          <w:lang w:val="es-MX"/>
        </w:rPr>
        <w:t>Paráfrasis, citas y verificación bibliográfica</w:t>
      </w:r>
      <w:bookmarkEnd w:id="80"/>
    </w:p>
    <w:p w14:paraId="2716F3BD" w14:textId="77777777" w:rsidR="00F11B80" w:rsidRPr="00F11B80" w:rsidRDefault="00F11B80" w:rsidP="00F11B80">
      <w:pPr>
        <w:rPr>
          <w:lang w:val="es-MX"/>
        </w:rPr>
      </w:pPr>
      <w:r w:rsidRPr="00F11B80">
        <w:rPr>
          <w:lang w:val="es-MX"/>
        </w:rPr>
        <w:t xml:space="preserve">La paráfrasis integra una idea ajena mediante redacción propia y atribución. Cambiar palabras con un sistema no elimina la obligación de citar ni demuestra comprensión. El investigador lee, aparta la fuente, explica la idea y luego compara para asegurar fidelidad. La herramienta puede ayudar a aclarar una oración, pero la versión final debe conservar significado y alcance. Las citas textuales se reservan para formulaciones relevantes y se presentan con página cuando corresponde. Un texto compuesto de paráfrasis automáticas puede ser formalmente distinto y conceptualmente dependiente. La originalidad se encuentra en la selección, relación y contribución, no en el porcentaje de palabras modificadas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COPE, 2023).</w:t>
      </w:r>
    </w:p>
    <w:p w14:paraId="36915322" w14:textId="77777777" w:rsidR="00F11B80" w:rsidRPr="00F11B80" w:rsidRDefault="00F11B80" w:rsidP="00F11B80">
      <w:pPr>
        <w:rPr>
          <w:lang w:val="es-MX"/>
        </w:rPr>
      </w:pPr>
      <w:r w:rsidRPr="00F11B80">
        <w:rPr>
          <w:lang w:val="es-MX"/>
        </w:rPr>
        <w:t>Las referencias generadas requieren verificación directa. Un modelo puede combinar autores, títulos y revistas o asignar un DOI incorrecto. Cada fuente se localiza y se comprueba. La cita debe sostener exactamente la afirmación, no solo tratar un tema parecido. Cuando se utiliza una revisión para describir un estudio primario, conviene consultar el original si la afirmación depende de sus datos. Las referencias se generan desde un gestor validado y se revisan al final. El sistema puede detectar inconsistencias formales, pero no certifica existencia ni pertinencia. La responsabilidad por cualquier cita pertenece a los autores humanos (ICMJE, 2026; Miao &amp; Holmes, 2023).</w:t>
      </w:r>
    </w:p>
    <w:p w14:paraId="002EFF0B" w14:textId="5C6E839D" w:rsidR="00F11B80" w:rsidRPr="00F11B80" w:rsidRDefault="00F11B80" w:rsidP="00CC0F3E">
      <w:pPr>
        <w:pStyle w:val="Ttulo3"/>
        <w:rPr>
          <w:lang w:val="es-MX"/>
        </w:rPr>
      </w:pPr>
      <w:bookmarkStart w:id="81" w:name="_Toc239440938"/>
      <w:r w:rsidRPr="00F11B80">
        <w:rPr>
          <w:lang w:val="es-MX"/>
        </w:rPr>
        <w:lastRenderedPageBreak/>
        <w:t>Estilo, traducción, resúmenes y títulos</w:t>
      </w:r>
      <w:bookmarkEnd w:id="81"/>
    </w:p>
    <w:p w14:paraId="25FB0B9C" w14:textId="77777777" w:rsidR="00F11B80" w:rsidRPr="00F11B80" w:rsidRDefault="00F11B80" w:rsidP="00F11B80">
      <w:pPr>
        <w:rPr>
          <w:lang w:val="es-MX"/>
        </w:rPr>
      </w:pPr>
      <w:r w:rsidRPr="00F11B80">
        <w:rPr>
          <w:lang w:val="es-MX"/>
        </w:rPr>
        <w:t xml:space="preserve">La revisión de estilo puede mejorar claridad, concisión y cohesión. La herramienta identifica repeticiones, oraciones extensas y transiciones débiles. Sin embargo, puede uniformar la voz, eliminar matices o introducir términos que no corresponden a la disciplina. El investigador solicita cambios específicos y compara versiones. No acepta una reescritura masiva sin lectura. La claridad no implica simplificar en exceso ni borrar cautela. Expresiones de incertidumbre deben conservarse. También se verifica que el texto no adquiera afirmaciones nuevas. El control de cambios o una comparación permite rastrear modificaciones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xml:space="preserve">, 2020; </w:t>
      </w:r>
      <w:proofErr w:type="spellStart"/>
      <w:r w:rsidRPr="00F11B80">
        <w:rPr>
          <w:lang w:val="es-MX"/>
        </w:rPr>
        <w:t>Kasneci</w:t>
      </w:r>
      <w:proofErr w:type="spellEnd"/>
      <w:r w:rsidRPr="00F11B80">
        <w:rPr>
          <w:lang w:val="es-MX"/>
        </w:rPr>
        <w:t xml:space="preserve"> et al., 2023).</w:t>
      </w:r>
    </w:p>
    <w:p w14:paraId="2AF92582" w14:textId="77777777" w:rsidR="00F11B80" w:rsidRPr="00F11B80" w:rsidRDefault="00F11B80" w:rsidP="00F11B80">
      <w:pPr>
        <w:rPr>
          <w:lang w:val="es-MX"/>
        </w:rPr>
      </w:pPr>
      <w:r w:rsidRPr="00F11B80">
        <w:rPr>
          <w:lang w:val="es-MX"/>
        </w:rPr>
        <w:t>La traducción asistida amplía comunicación entre lenguas, pero necesita revisión competente. Los sistemas pueden confundir conceptos, variedades regionales y relaciones gramaticales. En instrumentos de investigación, una traducción literal afecta validez. Se utilizan procedimientos de adaptación, revisión por especialistas y pruebas con usuarios. En manuscritos, el autor comprueba que la versión mantiene significado y no exagera conclusiones. La herramienta utilizada se declara cuando su contribución es sustantiva o la política editorial lo exige. Promover diversidad lingüística significa facilitar expresión sin imponer que el texto adopte una voz uniforme o anglosajona (Miao &amp; Holmes, 2023; UNESCO, 2021).</w:t>
      </w:r>
    </w:p>
    <w:p w14:paraId="3320B92E" w14:textId="77777777" w:rsidR="00F11B80" w:rsidRPr="00F11B80" w:rsidRDefault="00F11B80" w:rsidP="00F11B80">
      <w:pPr>
        <w:rPr>
          <w:lang w:val="es-MX"/>
        </w:rPr>
      </w:pPr>
      <w:r w:rsidRPr="00F11B80">
        <w:rPr>
          <w:lang w:val="es-MX"/>
        </w:rPr>
        <w:t xml:space="preserve">Los resúmenes deben representar el estudio y no prometer más de lo realizado. La inteligencia artificial puede condensar, pero tiende a privilegiar resultados positivos y lenguaje general. El investigador revisa objetivo, diseño, muestra, hallazgos y conclusión. Las cifras coinciden con tablas y el alcance con las limitaciones. Las palabras clave se seleccionan mediante vocabularios pertinentes, no solo por frecuencia. Un buen resumen permite decidir si el artículo es relevante. Como suele leerse separado, cualquier error se amplifica en bases y sistemas de descubrimiento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Page et al., 2021).</w:t>
      </w:r>
    </w:p>
    <w:p w14:paraId="096CE218" w14:textId="77777777" w:rsidR="00F11B80" w:rsidRPr="00F11B80" w:rsidRDefault="00F11B80" w:rsidP="00F11B80">
      <w:pPr>
        <w:rPr>
          <w:lang w:val="es-MX"/>
        </w:rPr>
      </w:pPr>
      <w:r w:rsidRPr="00F11B80">
        <w:rPr>
          <w:lang w:val="es-MX"/>
        </w:rPr>
        <w:t xml:space="preserve">Los títulos necesitan precisión, información y economía. Un generador propone variantes, pero puede añadir causalidad, novedad o generalidad no demostrada. El autor conserva términos esenciales y evita afirmaciones promocionales. En estudios observacionales, el título no presenta una intervención como causa. En revisiones, identifica el tipo. El subtítulo puede delimitar población o contexto. La elección también considera recuperación en buscadores, sin convertir el título en acumulación de palabras. El nombre final debe corresponder al manuscrito y a la audiencia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xml:space="preserve">, 2020;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312A7807" w14:textId="241CF5E4" w:rsidR="00F11B80" w:rsidRPr="00F11B80" w:rsidRDefault="00F11B80" w:rsidP="00CC0F3E">
      <w:pPr>
        <w:pStyle w:val="Ttulo3"/>
        <w:rPr>
          <w:lang w:val="es-MX"/>
        </w:rPr>
      </w:pPr>
      <w:bookmarkStart w:id="82" w:name="_Toc239440939"/>
      <w:r w:rsidRPr="00F11B80">
        <w:rPr>
          <w:lang w:val="es-MX"/>
        </w:rPr>
        <w:t>Métodos, resultados, discusión y revisión colaborativa</w:t>
      </w:r>
      <w:bookmarkEnd w:id="82"/>
    </w:p>
    <w:p w14:paraId="454B7F0E" w14:textId="77777777" w:rsidR="00F11B80" w:rsidRPr="00F11B80" w:rsidRDefault="00F11B80" w:rsidP="00F11B80">
      <w:pPr>
        <w:rPr>
          <w:lang w:val="es-MX"/>
        </w:rPr>
      </w:pPr>
      <w:r w:rsidRPr="00F11B80">
        <w:rPr>
          <w:lang w:val="es-MX"/>
        </w:rPr>
        <w:t xml:space="preserve">La sección de métodos exige exactitud suficiente para evaluar y reproducir. Una herramienta puede convertir notas en prosa, pero no debe completar parámetros ausentes. El investigador </w:t>
      </w:r>
      <w:r w:rsidRPr="00F11B80">
        <w:rPr>
          <w:lang w:val="es-MX"/>
        </w:rPr>
        <w:lastRenderedPageBreak/>
        <w:t>describe diseño, participantes, materiales, procedimiento, análisis, ética y desviaciones. El código, los instrumentos y los protocolos se vinculan cuando pueden compartirse. Si se utilizó inteligencia artificial, se explica dónde, con qué entradas, versión, fecha, configuración, validación y revisión. La marca comercial sola no permite comprender el procedimiento. Cuando el sistema cambia, se conserva la salida relevante y el entorno (ICMJE, 2026; Sandve et al., 2013).</w:t>
      </w:r>
    </w:p>
    <w:p w14:paraId="7C56261B" w14:textId="77777777" w:rsidR="00F11B80" w:rsidRPr="00F11B80" w:rsidRDefault="00F11B80" w:rsidP="00F11B80">
      <w:pPr>
        <w:rPr>
          <w:lang w:val="es-MX"/>
        </w:rPr>
      </w:pPr>
      <w:r w:rsidRPr="00F11B80">
        <w:rPr>
          <w:lang w:val="es-MX"/>
        </w:rPr>
        <w:t xml:space="preserve">Los resultados presentan evidencia sin confundirla con interpretación. Los modelos pueden redactar narrativas desde tablas, pero cometen errores de signo, magnitud y comparación. Cada cifra debe verificarse contra la fuente. No se describen como significativos resultados que no cumplen el criterio, ni se ocultan hallazgos nulos. Las tablas y figuras deben aportar información, tener títulos claros y evitar duplicación innecesaria. La accesibilidad requiere etiquetas, contraste y descripciones. La generación automática de visualizaciones se revisa por escalas, unidades y procedencia (Wasserstein et al., 2019;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w:t>
      </w:r>
    </w:p>
    <w:p w14:paraId="1000DAD7" w14:textId="77777777" w:rsidR="00F11B80" w:rsidRPr="00F11B80" w:rsidRDefault="00F11B80" w:rsidP="00F11B80">
      <w:pPr>
        <w:rPr>
          <w:lang w:val="es-MX"/>
        </w:rPr>
      </w:pPr>
      <w:r w:rsidRPr="00F11B80">
        <w:rPr>
          <w:lang w:val="es-MX"/>
        </w:rPr>
        <w:t xml:space="preserve">La discusión relaciona hallazgos con pregunta, literatura y límites. Un sistema puede proponer explicaciones plausibles, pero plausibilidad no es evidencia. El investigador distingue interpretación apoyada, hipótesis futura y especulación. También considera resultados alternativos y condiciones de transferencia. La conclusión no repite cifras ni presenta recomendaciones desproporcionadas. La inteligencia artificial es útil como interlocutor crítico que plantea objeciones, siempre que el autor contraste con teoría y datos. La discusión muestra juicio humano y no debe convertirse en una colección de posibilidades generadas (Bender et al., 2021; van </w:t>
      </w:r>
      <w:proofErr w:type="spellStart"/>
      <w:r w:rsidRPr="00F11B80">
        <w:rPr>
          <w:lang w:val="es-MX"/>
        </w:rPr>
        <w:t>Dis</w:t>
      </w:r>
      <w:proofErr w:type="spellEnd"/>
      <w:r w:rsidRPr="00F11B80">
        <w:rPr>
          <w:lang w:val="es-MX"/>
        </w:rPr>
        <w:t xml:space="preserve"> et al., 2023).</w:t>
      </w:r>
    </w:p>
    <w:p w14:paraId="0BD8157E" w14:textId="77777777" w:rsidR="00F11B80" w:rsidRPr="00F11B80" w:rsidRDefault="00F11B80" w:rsidP="00F11B80">
      <w:pPr>
        <w:rPr>
          <w:lang w:val="es-MX"/>
        </w:rPr>
      </w:pPr>
      <w:r w:rsidRPr="00F11B80">
        <w:rPr>
          <w:lang w:val="es-MX"/>
        </w:rPr>
        <w:t>La revisión colaborativa necesita preservar contribuciones. Un asistente puede resumir comentarios o agrupar cambios, pero la respuesta a revisores corresponde a autores. Cada observación se analiza, se responde con evidencia y se señala dónde cambió el texto. No se cargan manuscritos confidenciales o revisiones ajenas en servicios sin garantías. En equipos, se acuerda qué herramientas pueden utilizarse y quién verifica. El historial de versiones evita pérdida y permite atribuir. La colaboración académica implica desacuerdo y deliberación que no deben ser reemplazados por una síntesis automática (ICMJE, 2026; COPE, 2023).</w:t>
      </w:r>
    </w:p>
    <w:p w14:paraId="7BBD3CC4" w14:textId="5BF7D3BD" w:rsidR="00F11B80" w:rsidRPr="00F11B80" w:rsidRDefault="00F11B80" w:rsidP="00CC0F3E">
      <w:pPr>
        <w:pStyle w:val="Ttulo3"/>
        <w:rPr>
          <w:lang w:val="es-MX"/>
        </w:rPr>
      </w:pPr>
      <w:bookmarkStart w:id="83" w:name="_Toc239440940"/>
      <w:r w:rsidRPr="00F11B80">
        <w:rPr>
          <w:lang w:val="es-MX"/>
        </w:rPr>
        <w:t>Inclusión, declaración de uso y comunicación científica</w:t>
      </w:r>
      <w:bookmarkEnd w:id="83"/>
    </w:p>
    <w:p w14:paraId="25D11BAC" w14:textId="77777777" w:rsidR="00F11B80" w:rsidRPr="00F11B80" w:rsidRDefault="00F11B80" w:rsidP="00F11B80">
      <w:pPr>
        <w:rPr>
          <w:lang w:val="es-MX"/>
        </w:rPr>
      </w:pPr>
      <w:r w:rsidRPr="00F11B80">
        <w:rPr>
          <w:lang w:val="es-MX"/>
        </w:rPr>
        <w:t xml:space="preserve">La escritura inclusiva representa personas con precisión y respeto. Los sistemas pueden reproducir estereotipos, invisibilizar grupos o asumir categorías binarias. El autor revisa términos con las comunidades y guías del campo. No se infieren identidades ni se generaliza desde muestras limitadas. La descripción de participantes responde a la pregunta y protege privacidad. Las correcciones automáticas pueden considerar una variedad lingüística como error. Por ello, las sugerencias se evalúan según propósito, no según una norma universal. La calidad académica </w:t>
      </w:r>
      <w:r w:rsidRPr="00F11B80">
        <w:rPr>
          <w:lang w:val="es-MX"/>
        </w:rPr>
        <w:lastRenderedPageBreak/>
        <w:t xml:space="preserve">incluye reconocer diversidad sin convertirla en etiqueta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UNESCO, 2021).</w:t>
      </w:r>
    </w:p>
    <w:p w14:paraId="621F61AF" w14:textId="77777777" w:rsidR="00F11B80" w:rsidRPr="00F11B80" w:rsidRDefault="00F11B80" w:rsidP="00F11B80">
      <w:pPr>
        <w:rPr>
          <w:lang w:val="es-MX"/>
        </w:rPr>
      </w:pPr>
      <w:r w:rsidRPr="00F11B80">
        <w:rPr>
          <w:lang w:val="es-MX"/>
        </w:rPr>
        <w:t>La declaración de asistencia debe ser concreta. Puede indicar que una herramienta ayudó a explorar términos, revisar gramática o generar código, y explicar la verificación realizada. No basta con afirmar que se utilizó responsablemente. Las políticas varían entre revistas y se consultan al enviar. En general, los sistemas no se incluyen como autores porque no pueden responder por el trabajo, aprobar la versión ni gestionar conflictos. La transparencia no disminuye la contribución humana, permite evaluarla. Ocultar un uso sustantivo puede afectar confianza y reproducibilidad (COPE, 2023; ICMJE, 2026).</w:t>
      </w:r>
    </w:p>
    <w:p w14:paraId="68F36C5C" w14:textId="0EFA6B12" w:rsidR="00F11B80" w:rsidRPr="00F11B80" w:rsidRDefault="00F11B80" w:rsidP="00F11B80">
      <w:pPr>
        <w:rPr>
          <w:lang w:val="es-MX"/>
        </w:rPr>
      </w:pPr>
      <w:r w:rsidRPr="00F11B80">
        <w:rPr>
          <w:b/>
          <w:bCs/>
          <w:lang w:val="es-MX"/>
        </w:rPr>
        <w:t xml:space="preserve">Tabla </w:t>
      </w:r>
      <w:r w:rsidR="00FA6F60">
        <w:rPr>
          <w:b/>
          <w:bCs/>
          <w:lang w:val="es-MX"/>
        </w:rPr>
        <w:t>4</w:t>
      </w:r>
      <w:r w:rsidRPr="00F11B80">
        <w:rPr>
          <w:b/>
          <w:bCs/>
          <w:lang w:val="es-MX"/>
        </w:rPr>
        <w:t>.2. Usos responsables de IA en la escritura académica</w:t>
      </w:r>
    </w:p>
    <w:tbl>
      <w:tblPr>
        <w:tblStyle w:val="Tablanormal2"/>
        <w:tblW w:w="8392" w:type="dxa"/>
        <w:tblLook w:val="04A0" w:firstRow="1" w:lastRow="0" w:firstColumn="1" w:lastColumn="0" w:noHBand="0" w:noVBand="1"/>
      </w:tblPr>
      <w:tblGrid>
        <w:gridCol w:w="2098"/>
        <w:gridCol w:w="2098"/>
        <w:gridCol w:w="2098"/>
        <w:gridCol w:w="2098"/>
      </w:tblGrid>
      <w:tr w:rsidR="00F11B80" w:rsidRPr="00F11B80" w14:paraId="44B6BB3D" w14:textId="77777777" w:rsidTr="00CC0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D90F3F1" w14:textId="77777777" w:rsidR="00F11B80" w:rsidRPr="00CC0F3E" w:rsidRDefault="00F11B80" w:rsidP="00CC0F3E">
            <w:pPr>
              <w:spacing w:before="0" w:after="0" w:line="240" w:lineRule="auto"/>
              <w:jc w:val="center"/>
              <w:rPr>
                <w:sz w:val="20"/>
                <w:szCs w:val="20"/>
                <w:lang w:val="es-MX"/>
              </w:rPr>
            </w:pPr>
            <w:r w:rsidRPr="00CC0F3E">
              <w:rPr>
                <w:sz w:val="20"/>
                <w:szCs w:val="20"/>
                <w:lang w:val="es-MX"/>
              </w:rPr>
              <w:t>Tarea</w:t>
            </w:r>
          </w:p>
        </w:tc>
        <w:tc>
          <w:tcPr>
            <w:tcW w:w="2098" w:type="dxa"/>
            <w:vAlign w:val="center"/>
            <w:hideMark/>
          </w:tcPr>
          <w:p w14:paraId="1CEB3B52"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Uso admisible</w:t>
            </w:r>
          </w:p>
        </w:tc>
        <w:tc>
          <w:tcPr>
            <w:tcW w:w="2098" w:type="dxa"/>
            <w:vAlign w:val="center"/>
            <w:hideMark/>
          </w:tcPr>
          <w:p w14:paraId="074F794E"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Verificación requerida</w:t>
            </w:r>
          </w:p>
        </w:tc>
        <w:tc>
          <w:tcPr>
            <w:tcW w:w="2098" w:type="dxa"/>
            <w:vAlign w:val="center"/>
            <w:hideMark/>
          </w:tcPr>
          <w:p w14:paraId="0EED67E0" w14:textId="77777777" w:rsidR="00F11B80" w:rsidRPr="00CC0F3E" w:rsidRDefault="00F11B80" w:rsidP="00CC0F3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Riesgo principal</w:t>
            </w:r>
          </w:p>
        </w:tc>
      </w:tr>
      <w:tr w:rsidR="00F11B80" w:rsidRPr="00F11B80" w14:paraId="0084939C" w14:textId="77777777" w:rsidTr="00CC0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139FC36" w14:textId="77777777" w:rsidR="00F11B80" w:rsidRPr="00CC0F3E" w:rsidRDefault="00F11B80" w:rsidP="00CC0F3E">
            <w:pPr>
              <w:spacing w:before="0" w:after="0" w:line="240" w:lineRule="auto"/>
              <w:rPr>
                <w:sz w:val="20"/>
                <w:szCs w:val="20"/>
                <w:lang w:val="es-MX"/>
              </w:rPr>
            </w:pPr>
            <w:r w:rsidRPr="00CC0F3E">
              <w:rPr>
                <w:sz w:val="20"/>
                <w:szCs w:val="20"/>
                <w:lang w:val="es-MX"/>
              </w:rPr>
              <w:t>Planificación</w:t>
            </w:r>
          </w:p>
        </w:tc>
        <w:tc>
          <w:tcPr>
            <w:tcW w:w="2098" w:type="dxa"/>
            <w:vAlign w:val="center"/>
            <w:hideMark/>
          </w:tcPr>
          <w:p w14:paraId="188D706C"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Proponer esquemas o preguntas</w:t>
            </w:r>
          </w:p>
        </w:tc>
        <w:tc>
          <w:tcPr>
            <w:tcW w:w="2098" w:type="dxa"/>
            <w:vAlign w:val="center"/>
            <w:hideMark/>
          </w:tcPr>
          <w:p w14:paraId="051E99AF"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Alinear con propósito y género</w:t>
            </w:r>
          </w:p>
        </w:tc>
        <w:tc>
          <w:tcPr>
            <w:tcW w:w="2098" w:type="dxa"/>
            <w:vAlign w:val="center"/>
            <w:hideMark/>
          </w:tcPr>
          <w:p w14:paraId="01FA75C4"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Estructura genérica o incoherente</w:t>
            </w:r>
          </w:p>
        </w:tc>
      </w:tr>
      <w:tr w:rsidR="00F11B80" w:rsidRPr="00F11B80" w14:paraId="09F71E4C" w14:textId="77777777" w:rsidTr="00CC0F3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91F6C03" w14:textId="77777777" w:rsidR="00F11B80" w:rsidRPr="00CC0F3E" w:rsidRDefault="00F11B80" w:rsidP="00CC0F3E">
            <w:pPr>
              <w:spacing w:before="0" w:after="0" w:line="240" w:lineRule="auto"/>
              <w:rPr>
                <w:sz w:val="20"/>
                <w:szCs w:val="20"/>
                <w:lang w:val="es-MX"/>
              </w:rPr>
            </w:pPr>
            <w:r w:rsidRPr="00CC0F3E">
              <w:rPr>
                <w:sz w:val="20"/>
                <w:szCs w:val="20"/>
                <w:lang w:val="es-MX"/>
              </w:rPr>
              <w:t>Revisión de estilo</w:t>
            </w:r>
          </w:p>
        </w:tc>
        <w:tc>
          <w:tcPr>
            <w:tcW w:w="2098" w:type="dxa"/>
            <w:vAlign w:val="center"/>
            <w:hideMark/>
          </w:tcPr>
          <w:p w14:paraId="457FA399"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Detectar repeticiones y ambigüedad</w:t>
            </w:r>
          </w:p>
        </w:tc>
        <w:tc>
          <w:tcPr>
            <w:tcW w:w="2098" w:type="dxa"/>
            <w:vAlign w:val="center"/>
            <w:hideMark/>
          </w:tcPr>
          <w:p w14:paraId="4CB3FC9F"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Conservar significado y voz autoral</w:t>
            </w:r>
          </w:p>
        </w:tc>
        <w:tc>
          <w:tcPr>
            <w:tcW w:w="2098" w:type="dxa"/>
            <w:vAlign w:val="center"/>
            <w:hideMark/>
          </w:tcPr>
          <w:p w14:paraId="2FEF4A03"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Uniformidad o pérdida de matiz</w:t>
            </w:r>
          </w:p>
        </w:tc>
      </w:tr>
      <w:tr w:rsidR="00F11B80" w:rsidRPr="00F11B80" w14:paraId="28BF2A1D" w14:textId="77777777" w:rsidTr="00CC0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8520ED7" w14:textId="77777777" w:rsidR="00F11B80" w:rsidRPr="00CC0F3E" w:rsidRDefault="00F11B80" w:rsidP="00CC0F3E">
            <w:pPr>
              <w:spacing w:before="0" w:after="0" w:line="240" w:lineRule="auto"/>
              <w:rPr>
                <w:sz w:val="20"/>
                <w:szCs w:val="20"/>
                <w:lang w:val="es-MX"/>
              </w:rPr>
            </w:pPr>
            <w:r w:rsidRPr="00CC0F3E">
              <w:rPr>
                <w:sz w:val="20"/>
                <w:szCs w:val="20"/>
                <w:lang w:val="es-MX"/>
              </w:rPr>
              <w:t>Paráfrasis</w:t>
            </w:r>
          </w:p>
        </w:tc>
        <w:tc>
          <w:tcPr>
            <w:tcW w:w="2098" w:type="dxa"/>
            <w:vAlign w:val="center"/>
            <w:hideMark/>
          </w:tcPr>
          <w:p w14:paraId="2F104804"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Explorar formulaciones alternativas</w:t>
            </w:r>
          </w:p>
        </w:tc>
        <w:tc>
          <w:tcPr>
            <w:tcW w:w="2098" w:type="dxa"/>
            <w:vAlign w:val="center"/>
            <w:hideMark/>
          </w:tcPr>
          <w:p w14:paraId="1EA7893D"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Comprender, reescribir y citar la fuente</w:t>
            </w:r>
          </w:p>
        </w:tc>
        <w:tc>
          <w:tcPr>
            <w:tcW w:w="2098" w:type="dxa"/>
            <w:vAlign w:val="center"/>
            <w:hideMark/>
          </w:tcPr>
          <w:p w14:paraId="1C489D17"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Plagio o atribución insuficiente</w:t>
            </w:r>
          </w:p>
        </w:tc>
      </w:tr>
      <w:tr w:rsidR="00F11B80" w:rsidRPr="00F11B80" w14:paraId="155D24F7" w14:textId="77777777" w:rsidTr="00CC0F3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8BF5B33" w14:textId="77777777" w:rsidR="00F11B80" w:rsidRPr="00CC0F3E" w:rsidRDefault="00F11B80" w:rsidP="00CC0F3E">
            <w:pPr>
              <w:spacing w:before="0" w:after="0" w:line="240" w:lineRule="auto"/>
              <w:rPr>
                <w:sz w:val="20"/>
                <w:szCs w:val="20"/>
                <w:lang w:val="es-MX"/>
              </w:rPr>
            </w:pPr>
            <w:r w:rsidRPr="00CC0F3E">
              <w:rPr>
                <w:sz w:val="20"/>
                <w:szCs w:val="20"/>
                <w:lang w:val="es-MX"/>
              </w:rPr>
              <w:t>Referencias</w:t>
            </w:r>
          </w:p>
        </w:tc>
        <w:tc>
          <w:tcPr>
            <w:tcW w:w="2098" w:type="dxa"/>
            <w:vAlign w:val="center"/>
            <w:hideMark/>
          </w:tcPr>
          <w:p w14:paraId="701A83FF"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Ayudar a organizar metadatos</w:t>
            </w:r>
          </w:p>
        </w:tc>
        <w:tc>
          <w:tcPr>
            <w:tcW w:w="2098" w:type="dxa"/>
            <w:vAlign w:val="center"/>
            <w:hideMark/>
          </w:tcPr>
          <w:p w14:paraId="4446D0FC"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Localizar y comprobar cada documento</w:t>
            </w:r>
          </w:p>
        </w:tc>
        <w:tc>
          <w:tcPr>
            <w:tcW w:w="2098" w:type="dxa"/>
            <w:vAlign w:val="center"/>
            <w:hideMark/>
          </w:tcPr>
          <w:p w14:paraId="6BCC3D6B" w14:textId="77777777" w:rsidR="00F11B80" w:rsidRPr="00CC0F3E" w:rsidRDefault="00F11B80" w:rsidP="00CC0F3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CC0F3E">
              <w:rPr>
                <w:sz w:val="20"/>
                <w:szCs w:val="20"/>
                <w:lang w:val="es-MX"/>
              </w:rPr>
              <w:t>Citas o DOI inventados</w:t>
            </w:r>
          </w:p>
        </w:tc>
      </w:tr>
      <w:tr w:rsidR="00F11B80" w:rsidRPr="00F11B80" w14:paraId="736B87F7" w14:textId="77777777" w:rsidTr="00CC0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15FCB35" w14:textId="77777777" w:rsidR="00F11B80" w:rsidRPr="00CC0F3E" w:rsidRDefault="00F11B80" w:rsidP="00CC0F3E">
            <w:pPr>
              <w:spacing w:before="0" w:after="0" w:line="240" w:lineRule="auto"/>
              <w:rPr>
                <w:sz w:val="20"/>
                <w:szCs w:val="20"/>
                <w:lang w:val="es-MX"/>
              </w:rPr>
            </w:pPr>
            <w:r w:rsidRPr="00CC0F3E">
              <w:rPr>
                <w:sz w:val="20"/>
                <w:szCs w:val="20"/>
                <w:lang w:val="es-MX"/>
              </w:rPr>
              <w:t>Traducción</w:t>
            </w:r>
          </w:p>
        </w:tc>
        <w:tc>
          <w:tcPr>
            <w:tcW w:w="2098" w:type="dxa"/>
            <w:vAlign w:val="center"/>
            <w:hideMark/>
          </w:tcPr>
          <w:p w14:paraId="430381ED"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Generar un primer borrador</w:t>
            </w:r>
          </w:p>
        </w:tc>
        <w:tc>
          <w:tcPr>
            <w:tcW w:w="2098" w:type="dxa"/>
            <w:vAlign w:val="center"/>
            <w:hideMark/>
          </w:tcPr>
          <w:p w14:paraId="789C3A7C"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Revisión lingüística y disciplinar</w:t>
            </w:r>
          </w:p>
        </w:tc>
        <w:tc>
          <w:tcPr>
            <w:tcW w:w="2098" w:type="dxa"/>
            <w:vAlign w:val="center"/>
            <w:hideMark/>
          </w:tcPr>
          <w:p w14:paraId="1C7C9BA3" w14:textId="77777777" w:rsidR="00F11B80" w:rsidRPr="00CC0F3E" w:rsidRDefault="00F11B80" w:rsidP="00CC0F3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CC0F3E">
              <w:rPr>
                <w:sz w:val="20"/>
                <w:szCs w:val="20"/>
                <w:lang w:val="es-MX"/>
              </w:rPr>
              <w:t>Error terminológico</w:t>
            </w:r>
          </w:p>
        </w:tc>
      </w:tr>
    </w:tbl>
    <w:p w14:paraId="7F4C0111" w14:textId="77777777" w:rsidR="00F11B80" w:rsidRPr="00F11B80" w:rsidRDefault="00F11B80" w:rsidP="00F11B80">
      <w:pPr>
        <w:rPr>
          <w:lang w:val="es-MX"/>
        </w:rPr>
      </w:pPr>
      <w:r w:rsidRPr="00F11B80">
        <w:rPr>
          <w:i/>
          <w:iCs/>
          <w:lang w:val="es-MX"/>
        </w:rPr>
        <w:t>Fuente: elaboración propia a partir de las referencias citadas en el apartado.</w:t>
      </w:r>
    </w:p>
    <w:p w14:paraId="21D1F093" w14:textId="77777777" w:rsidR="00F11B80" w:rsidRPr="00F11B80" w:rsidRDefault="00F11B80" w:rsidP="00F11B80">
      <w:pPr>
        <w:rPr>
          <w:lang w:val="es-MX"/>
        </w:rPr>
      </w:pPr>
      <w:r w:rsidRPr="00F11B80">
        <w:rPr>
          <w:lang w:val="es-MX"/>
        </w:rPr>
        <w:t>La decisión de no utilizar inteligencia artificial también puede ser metodológicamente correcta. Datos sensibles, acuerdos de confidencialidad, requisitos de revista o riesgo de pérdida conceptual pueden justificarlo. El investigador compara beneficio, costo y alternativas. Herramientas locales o institucionales pueden ofrecer mayor control, pero igualmente necesitan evaluación. La adopción no es una medida de innovación. La competencia consiste en seleccionar el apoyo apropiado, limitarlo y conservar capacidad de escribir, argumentar y revisar de manera independiente (Miao &amp; Holmes, 2023; UNESCO, 2021).</w:t>
      </w:r>
    </w:p>
    <w:p w14:paraId="0E06F393" w14:textId="77777777" w:rsidR="00F11B80" w:rsidRPr="00F11B80" w:rsidRDefault="00F11B80" w:rsidP="00F11B80">
      <w:pPr>
        <w:rPr>
          <w:lang w:val="es-MX"/>
        </w:rPr>
      </w:pPr>
      <w:r w:rsidRPr="00F11B80">
        <w:rPr>
          <w:lang w:val="es-MX"/>
        </w:rPr>
        <w:t>Las figuras conceptuales y diagramas pueden ayudar a comunicar relaciones, pero una imagen generada no debe presentarse como dato. El autor diferencia ilustración, visualización analítica y resultado empírico. Las figuras se acompañan de fuente, método y descripción accesible. Si se utiliza inteligencia artificial generativa, se revisan símbolos, escalas, anatomía y contexto, y se declara el procedimiento según la política. En imágenes científicas, no se añaden ni eliminan elementos que alteren evidencia. Los archivos originales se conservan. La estética nunca justifica una representación engañosa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ICMJE, 2026).</w:t>
      </w:r>
    </w:p>
    <w:p w14:paraId="3BBAFC69" w14:textId="77777777" w:rsidR="00F11B80" w:rsidRPr="00F11B80" w:rsidRDefault="00F11B80" w:rsidP="00F11B80">
      <w:pPr>
        <w:rPr>
          <w:lang w:val="es-MX"/>
        </w:rPr>
      </w:pPr>
      <w:r w:rsidRPr="00F11B80">
        <w:rPr>
          <w:lang w:val="es-MX"/>
        </w:rPr>
        <w:lastRenderedPageBreak/>
        <w:t>La respuesta a observaciones editoriales puede beneficiarse de una matriz. Cada comentario se transcribe, se clasifica y se vincula con un cambio o una justificación. Un sistema puede ayudar a ordenar, pero no debe producir respuestas evasivas ni prometer modificaciones no realizadas. Los autores verifican que la ubicación indicada sea correcta y mantienen tono profesional. Cuando discrepan, explican con evidencia. Las cartas y manuscritos de revisión son confidenciales, por lo que solo se procesan en entornos autorizados. La trazabilidad muestra respeto por la evaluación y reduce omisiones (COPE, 2023; ICMJE, 2026).</w:t>
      </w:r>
    </w:p>
    <w:p w14:paraId="0F720FDB" w14:textId="77777777" w:rsidR="00F11B80" w:rsidRDefault="00F11B80" w:rsidP="00F11B80">
      <w:pPr>
        <w:rPr>
          <w:lang w:val="es-MX"/>
        </w:rPr>
      </w:pPr>
      <w:r w:rsidRPr="00F11B80">
        <w:rPr>
          <w:lang w:val="es-MX"/>
        </w:rPr>
        <w:t xml:space="preserve">La escritura para públicos no especializados requiere traducir sin deformar. La inteligencia artificial puede proponer versiones divulgativas, pero puede eliminar incertidumbre o convertir asociaciones en causas. El investigador identifica mensajes esenciales, explica términos y mantiene cifras con contexto. También evita metáforas que estigmaticen. Una versión accesible puede someterse a lectura de personas de la audiencia. Comunicar resultados es parte de la responsabilidad social, especialmente cuando afectan políticas o salud. La claridad debe acompañarse de exactitud y límites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 UNESCO, 2021).</w:t>
      </w:r>
    </w:p>
    <w:p w14:paraId="5AEB1182" w14:textId="6E849111" w:rsidR="00CB2B15" w:rsidRPr="00F11B80" w:rsidRDefault="00762535" w:rsidP="00F11B80">
      <w:pPr>
        <w:rPr>
          <w:lang w:val="es-MX"/>
        </w:rPr>
      </w:pPr>
      <w:r>
        <w:rPr>
          <w:noProof/>
          <w:lang w:val="es-MX"/>
        </w:rPr>
        <w:drawing>
          <wp:inline distT="0" distB="0" distL="0" distR="0" wp14:anchorId="3C443440" wp14:editId="6EBE2299">
            <wp:extent cx="5391150" cy="3600450"/>
            <wp:effectExtent l="0" t="0" r="0" b="0"/>
            <wp:docPr id="186241445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14:paraId="25D6F184" w14:textId="1035BC8D" w:rsidR="00F11B80" w:rsidRPr="00F11B80" w:rsidRDefault="00F11B80" w:rsidP="00CC0F3E">
      <w:pPr>
        <w:pStyle w:val="Ttulo2"/>
        <w:rPr>
          <w:lang w:val="es-MX"/>
        </w:rPr>
      </w:pPr>
      <w:bookmarkStart w:id="84" w:name="_Toc239440941"/>
      <w:r w:rsidRPr="00F11B80">
        <w:rPr>
          <w:lang w:val="es-MX"/>
        </w:rPr>
        <w:t>Análisis de datos</w:t>
      </w:r>
      <w:bookmarkEnd w:id="84"/>
    </w:p>
    <w:p w14:paraId="41FC2E31" w14:textId="574F68C5" w:rsidR="00F11B80" w:rsidRPr="00F11B80" w:rsidRDefault="00F11B80" w:rsidP="00CC0F3E">
      <w:pPr>
        <w:pStyle w:val="Ttulo3"/>
        <w:rPr>
          <w:lang w:val="es-MX"/>
        </w:rPr>
      </w:pPr>
      <w:bookmarkStart w:id="85" w:name="_Toc239440942"/>
      <w:r w:rsidRPr="00F11B80">
        <w:rPr>
          <w:lang w:val="es-MX"/>
        </w:rPr>
        <w:t>Diseño analítico, organización y calidad de los datos</w:t>
      </w:r>
      <w:bookmarkEnd w:id="85"/>
    </w:p>
    <w:p w14:paraId="0284F475" w14:textId="77777777" w:rsidR="00F11B80" w:rsidRPr="00F11B80" w:rsidRDefault="00F11B80" w:rsidP="00F11B80">
      <w:pPr>
        <w:rPr>
          <w:lang w:val="es-MX"/>
        </w:rPr>
      </w:pPr>
      <w:r w:rsidRPr="00F11B80">
        <w:rPr>
          <w:lang w:val="es-MX"/>
        </w:rPr>
        <w:t xml:space="preserve">El análisis de datos comienza antes del software. La pregunta, el diseño y el plan determinan qué información se necesita y qué inferencias son posibles. La inteligencia artificial puede sugerir métodos, pero una recomendación basada solo en el nombre de variables ignora muestreo, </w:t>
      </w:r>
      <w:r w:rsidRPr="00F11B80">
        <w:rPr>
          <w:lang w:val="es-MX"/>
        </w:rPr>
        <w:lastRenderedPageBreak/>
        <w:t>medición y supuestos. El investigador define unidades, escalas, comparaciones y resultados principales. Cuando sea apropiado, registra un plan previo. Las decisiones exploratorias siguen siendo legítimas si se distinguen de las confirmatorias. La calidad no surge de aplicar un algoritmo avanzado, sino de la coherencia entre pregunta, datos y método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Wasserstein et al., 2019).</w:t>
      </w:r>
    </w:p>
    <w:p w14:paraId="41A2DA23" w14:textId="77777777" w:rsidR="00F11B80" w:rsidRPr="00F11B80" w:rsidRDefault="00F11B80" w:rsidP="00F11B80">
      <w:pPr>
        <w:rPr>
          <w:lang w:val="es-MX"/>
        </w:rPr>
      </w:pPr>
      <w:r w:rsidRPr="00F11B80">
        <w:rPr>
          <w:lang w:val="es-MX"/>
        </w:rPr>
        <w:t>La organización de datos previene errores. Cada fila suele representar una observación y cada columna una variable, con códigos consistentes y un diccionario. Las celdas no mezclan valores y comentarios. Los datos originales se conservan sin modificación, y la limpieza se realiza mediante scripts o copias trazables. Un modelo puede proponer transformaciones, pero no debe alterar archivos sin revisión. Las decisiones sobre valores faltantes, duplicados y casos extremos se documentan. La estructura facilita colaboración, análisis y auditoría. Una hoja visualmente ordenada no garantiza datos utilizables, por lo que se aplican reglas explícitas (Broman &amp; Woo, 2018; Wilkinson et al., 2016).</w:t>
      </w:r>
    </w:p>
    <w:p w14:paraId="1F973BF3" w14:textId="77777777" w:rsidR="00F11B80" w:rsidRPr="00F11B80" w:rsidRDefault="00F11B80" w:rsidP="00F11B80">
      <w:pPr>
        <w:rPr>
          <w:lang w:val="es-MX"/>
        </w:rPr>
      </w:pPr>
      <w:r w:rsidRPr="00F11B80">
        <w:rPr>
          <w:lang w:val="es-MX"/>
        </w:rPr>
        <w:t>La calidad de los datos incluye completitud, exactitud, consistencia, actualidad y pertinencia. Los sistemas pueden detectar patrones extraños, pero un valor inusual puede ser error o hallazgo. La revisión combina reglas, gráficos y conocimiento del campo. No se elimina un caso únicamente porque reduce ajuste. Cada corrección mantiene registro y, cuando sea posible, referencia al origen. Los datos generados por sensores o plataformas también contienen decisiones de medición. La inteligencia artificial no recupera información que nunca se observó. Declarar limitaciones evita que limpieza se convierta en fabricación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Broman &amp; Woo, 2018).</w:t>
      </w:r>
    </w:p>
    <w:p w14:paraId="07E38B7C" w14:textId="2035E212" w:rsidR="00F11B80" w:rsidRPr="00F11B80" w:rsidRDefault="00F11B80" w:rsidP="00CC0F3E">
      <w:pPr>
        <w:pStyle w:val="Ttulo3"/>
        <w:rPr>
          <w:lang w:val="es-MX"/>
        </w:rPr>
      </w:pPr>
      <w:bookmarkStart w:id="86" w:name="_Toc239440943"/>
      <w:r w:rsidRPr="00F11B80">
        <w:rPr>
          <w:lang w:val="es-MX"/>
        </w:rPr>
        <w:t>Exploración, selección de modelos e inferencia</w:t>
      </w:r>
      <w:bookmarkEnd w:id="86"/>
    </w:p>
    <w:p w14:paraId="3F6ABBFC" w14:textId="77777777" w:rsidR="00F11B80" w:rsidRPr="00F11B80" w:rsidRDefault="00F11B80" w:rsidP="00F11B80">
      <w:pPr>
        <w:rPr>
          <w:lang w:val="es-MX"/>
        </w:rPr>
      </w:pPr>
      <w:r w:rsidRPr="00F11B80">
        <w:rPr>
          <w:lang w:val="es-MX"/>
        </w:rPr>
        <w:t>El análisis exploratorio describe distribuciones, relaciones y calidad. Gráficos simples suelen revelar más que un modelo complejo. Un asistente puede generar código, pero el investigador ejecuta, inspecciona y comprende cada paso. Las visualizaciones se revisan por escala, unidades, color y accesibilidad. La exploración produce preguntas y ayuda a detectar errores, pero no debe presentarse como confirmación sin reconocer su origen. Si se prueban muchas relaciones, aumenta la probabilidad de hallazgos casuales. La transparencia distingue lo previsto de lo descubierto (Wasserstein et al., 2019; Peng, 2011).</w:t>
      </w:r>
    </w:p>
    <w:p w14:paraId="7CBA8544" w14:textId="77777777" w:rsidR="00F11B80" w:rsidRPr="00F11B80" w:rsidRDefault="00F11B80" w:rsidP="00F11B80">
      <w:pPr>
        <w:rPr>
          <w:lang w:val="es-MX"/>
        </w:rPr>
      </w:pPr>
      <w:r w:rsidRPr="00F11B80">
        <w:rPr>
          <w:lang w:val="es-MX"/>
        </w:rPr>
        <w:t xml:space="preserve">La selección de modelos depende de supuestos y objetivo. Predicción, explicación causal, descripción y clasificación requieren enfoques diferentes. Una alta precisión predictiva no demuestra causalidad. La inteligencia artificial puede sugerir una técnica popular sin considerar tamaño de muestra o estructura. El investigador examina independencia, distribución, linealidad, colinealidad y datos faltantes. También compara alternativas simples. La complejidad se justifica </w:t>
      </w:r>
      <w:r w:rsidRPr="00F11B80">
        <w:rPr>
          <w:lang w:val="es-MX"/>
        </w:rPr>
        <w:lastRenderedPageBreak/>
        <w:t>por mejora relevante, no por novedad. Los parámetros, versiones y semillas se registran. La interpretación se limita al diseño (Gelman et al., 2020; Wasserstein et al., 2019).</w:t>
      </w:r>
    </w:p>
    <w:p w14:paraId="1A976FED" w14:textId="77777777" w:rsidR="00F11B80" w:rsidRPr="00F11B80" w:rsidRDefault="00F11B80" w:rsidP="00F11B80">
      <w:pPr>
        <w:rPr>
          <w:lang w:val="es-MX"/>
        </w:rPr>
      </w:pPr>
      <w:r w:rsidRPr="00F11B80">
        <w:rPr>
          <w:lang w:val="es-MX"/>
        </w:rPr>
        <w:t>El tamaño de muestra debe justificarse según el objetivo. Una regla automática universal puede producir estudios débiles. En pruebas confirmatorias se consideran efecto relevante, error, potencia y diseño. En modelos predictivos importan complejidad, prevalencia y validación. En estudios cualitativos se atiende riqueza, diversidad y suficiencia conceptual. La inteligencia artificial puede realizar cálculos, pero el investigador establece supuestos y realiza sensibilidad. La justificación se comunica antes de interpretar resultados. Más datos no corrigen sesgo de selección ni medición deficiente (</w:t>
      </w:r>
      <w:proofErr w:type="spellStart"/>
      <w:r w:rsidRPr="00F11B80">
        <w:rPr>
          <w:lang w:val="es-MX"/>
        </w:rPr>
        <w:t>Lakens</w:t>
      </w:r>
      <w:proofErr w:type="spellEnd"/>
      <w:r w:rsidRPr="00F11B80">
        <w:rPr>
          <w:lang w:val="es-MX"/>
        </w:rPr>
        <w:t xml:space="preserve">, 2022;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3EAD9211" w14:textId="77777777" w:rsidR="00F11B80" w:rsidRPr="00F11B80" w:rsidRDefault="00F11B80" w:rsidP="00F11B80">
      <w:pPr>
        <w:rPr>
          <w:lang w:val="es-MX"/>
        </w:rPr>
      </w:pPr>
      <w:r w:rsidRPr="00F11B80">
        <w:rPr>
          <w:lang w:val="es-MX"/>
        </w:rPr>
        <w:t>Los valores p no miden importancia ni probabilidad de una hipótesis. La interpretación combina estimación, intervalo, diseño, evidencia previa y consecuencias. Un modelo generativo puede repetir frases equivocadas sobre significación. El investigador evita dicotomías y presenta magnitud e incertidumbre. Los resultados no significativos no prueban ausencia y los significativos no garantizan relevancia. Las decisiones analíticas se justifican y no se ajustan después para alcanzar un umbral. La asistencia debe reforzar comprensión, no automatizar fórmulas rituales (Wasserstein &amp; Lazar, 2016; Wasserstein et al., 2019).</w:t>
      </w:r>
    </w:p>
    <w:p w14:paraId="23C96E25" w14:textId="0221853E" w:rsidR="00F11B80" w:rsidRPr="00F11B80" w:rsidRDefault="00F11B80" w:rsidP="009739CB">
      <w:pPr>
        <w:pStyle w:val="Ttulo3"/>
        <w:rPr>
          <w:lang w:val="es-MX"/>
        </w:rPr>
      </w:pPr>
      <w:bookmarkStart w:id="87" w:name="_Toc239440944"/>
      <w:r w:rsidRPr="00F11B80">
        <w:rPr>
          <w:lang w:val="es-MX"/>
        </w:rPr>
        <w:t>Validación y análisis cualitativo y mixto</w:t>
      </w:r>
      <w:bookmarkEnd w:id="87"/>
    </w:p>
    <w:p w14:paraId="01933E5D" w14:textId="77777777" w:rsidR="00F11B80" w:rsidRPr="00F11B80" w:rsidRDefault="00F11B80" w:rsidP="00F11B80">
      <w:pPr>
        <w:rPr>
          <w:lang w:val="es-MX"/>
        </w:rPr>
      </w:pPr>
      <w:r w:rsidRPr="00F11B80">
        <w:rPr>
          <w:lang w:val="es-MX"/>
        </w:rPr>
        <w:t>La validación separa entrenamiento y evaluación cuando se construyen modelos predictivos. Utilizar los mismos datos produce estimaciones optimistas. La partición, validación cruzada o evaluación externa depende del contexto. Las transformaciones deben aprenderse dentro de cada ciclo para evitar filtración. La inteligencia artificial puede generar código aparentemente correcto que mezcla conjuntos. Las pruebas con datos simulados y revisión de tuberías detectan errores. También se examina calibración y desempeño por grupos, no solo una métrica global. Un modelo útil en una muestra puede fallar al desplegarse (Tabassi, 2023; Mitchell et al., 2019).</w:t>
      </w:r>
    </w:p>
    <w:p w14:paraId="08CC1CC0" w14:textId="77777777" w:rsidR="00F11B80" w:rsidRPr="00F11B80" w:rsidRDefault="00F11B80" w:rsidP="00F11B80">
      <w:pPr>
        <w:rPr>
          <w:lang w:val="es-MX"/>
        </w:rPr>
      </w:pPr>
      <w:r w:rsidRPr="00F11B80">
        <w:rPr>
          <w:lang w:val="es-MX"/>
        </w:rPr>
        <w:t>El análisis cualitativo requiere familiarización, codificación, desarrollo de patrones e interpretación reflexiva. Los modelos pueden proponer códigos o resumir segmentos, pero tienden a descontextualizar y homogeneizar voces. El investigador define el enfoque, mantiene notas y revisa casos divergentes. Si se utiliza asistencia, se compara con codificación humana y se documentan instrucciones. La frecuencia de palabras no equivale a significado. En análisis reflexivo, la subjetividad se reconoce como recurso situado y no se oculta detrás de una máquina. Las citas de participantes se verifican y protegen (Braun &amp; Clarke, 2022; Saldaña, 2021).</w:t>
      </w:r>
    </w:p>
    <w:p w14:paraId="1977B69D" w14:textId="77777777" w:rsidR="00F11B80" w:rsidRPr="00F11B80" w:rsidRDefault="00F11B80" w:rsidP="00F11B80">
      <w:pPr>
        <w:rPr>
          <w:lang w:val="es-MX"/>
        </w:rPr>
      </w:pPr>
      <w:r w:rsidRPr="00F11B80">
        <w:rPr>
          <w:lang w:val="es-MX"/>
        </w:rPr>
        <w:t xml:space="preserve">Los datos cualitativos suelen contener información identificable. Enviar transcripciones a servicios externos puede vulnerar consentimiento y acuerdos éticos. Antes de usar una herramienta se revisan términos, ubicación, retención y entrenamiento. </w:t>
      </w:r>
      <w:proofErr w:type="spellStart"/>
      <w:r w:rsidRPr="00F11B80">
        <w:rPr>
          <w:lang w:val="es-MX"/>
        </w:rPr>
        <w:t>Seudonimizar</w:t>
      </w:r>
      <w:proofErr w:type="spellEnd"/>
      <w:r w:rsidRPr="00F11B80">
        <w:rPr>
          <w:lang w:val="es-MX"/>
        </w:rPr>
        <w:t xml:space="preserve"> no siempre </w:t>
      </w:r>
      <w:r w:rsidRPr="00F11B80">
        <w:rPr>
          <w:lang w:val="es-MX"/>
        </w:rPr>
        <w:lastRenderedPageBreak/>
        <w:t xml:space="preserve">basta, porque relatos permiten </w:t>
      </w:r>
      <w:proofErr w:type="spellStart"/>
      <w:r w:rsidRPr="00F11B80">
        <w:rPr>
          <w:lang w:val="es-MX"/>
        </w:rPr>
        <w:t>reidentificación</w:t>
      </w:r>
      <w:proofErr w:type="spellEnd"/>
      <w:r w:rsidRPr="00F11B80">
        <w:rPr>
          <w:lang w:val="es-MX"/>
        </w:rPr>
        <w:t>. Se puede trabajar con fragmentos mínimos, entornos locales o datos sintéticos para probar flujos. El comité de ética debe conocer usos sustantivos que cambian tratamiento. Los participantes merecen información comprensible. La conveniencia analítica no supera la obligación de cuidado (UNESCO, 2021; Miao &amp; Holmes, 2023).</w:t>
      </w:r>
    </w:p>
    <w:p w14:paraId="20A5613E" w14:textId="77777777" w:rsidR="00F11B80" w:rsidRPr="00F11B80" w:rsidRDefault="00F11B80" w:rsidP="00F11B80">
      <w:pPr>
        <w:rPr>
          <w:lang w:val="es-MX"/>
        </w:rPr>
      </w:pPr>
      <w:r w:rsidRPr="00F11B80">
        <w:rPr>
          <w:lang w:val="es-MX"/>
        </w:rPr>
        <w:t>Los métodos mixtos integran evidencia cuantitativa y cualitativa para responder una pregunta. La inteligencia artificial puede ayudar a alinear bases, crear matrices o buscar convergencias, pero no resuelve tensiones epistemológicas. El investigador define cuándo y para qué se integran componentes. Las discrepancias no se eliminan mediante promedio, pueden revelar mecanismos o límites. Las inferencias finales muestran qué aporta cada fuente y cómo se relacionan. La automatización debe preservar procedencia. Una síntesis que borra origen impide evaluar peso y contexto (Creswell &amp; Plano Clark, 2018; UNESCO, 2021).</w:t>
      </w:r>
    </w:p>
    <w:p w14:paraId="03904C33" w14:textId="19E0988E" w:rsidR="00F11B80" w:rsidRDefault="00F11B80" w:rsidP="009739CB">
      <w:pPr>
        <w:pStyle w:val="Ttulo3"/>
        <w:rPr>
          <w:lang w:val="es-MX"/>
        </w:rPr>
      </w:pPr>
      <w:bookmarkStart w:id="88" w:name="_Toc239440945"/>
      <w:r w:rsidRPr="00F11B80">
        <w:rPr>
          <w:lang w:val="es-MX"/>
        </w:rPr>
        <w:t>Código, reproducibilidad, datos FAIR y documentación</w:t>
      </w:r>
      <w:bookmarkEnd w:id="88"/>
    </w:p>
    <w:p w14:paraId="136745F9" w14:textId="3D84F60F" w:rsidR="00965469" w:rsidRPr="00965469" w:rsidRDefault="00627722" w:rsidP="00965469">
      <w:pPr>
        <w:rPr>
          <w:lang w:val="es-MX"/>
        </w:rPr>
      </w:pPr>
      <w:r>
        <w:rPr>
          <w:noProof/>
          <w:lang w:val="es-MX"/>
        </w:rPr>
        <w:drawing>
          <wp:inline distT="0" distB="0" distL="0" distR="0" wp14:anchorId="24C4433E" wp14:editId="30E08214">
            <wp:extent cx="5400675" cy="3600450"/>
            <wp:effectExtent l="0" t="0" r="9525" b="0"/>
            <wp:docPr id="55388773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51C7F2FE" w14:textId="77777777" w:rsidR="00F11B80" w:rsidRPr="00F11B80" w:rsidRDefault="00F11B80" w:rsidP="00F11B80">
      <w:pPr>
        <w:rPr>
          <w:lang w:val="es-MX"/>
        </w:rPr>
      </w:pPr>
      <w:r w:rsidRPr="00F11B80">
        <w:rPr>
          <w:lang w:val="es-MX"/>
        </w:rPr>
        <w:t>El código generado acelera tareas, pero puede contener errores, dependencias inseguras o funciones inexistentes. El investigador lee, prueba y comenta. Las funciones se verifican con ejemplos pequeños y resultados conocidos. Se fijan versiones y se ejecutan pruebas. No se incluyen claves, identificadores ni datos en consultas externas. Las licencias de código y paquetes se respetan. Si el análisis depende de una solución generada, se declara y se conserva la versión. Copiar código sin comprenderlo impide responder a errores y debilita reproducibilidad (Sandve et al., 2013; Peng, 2011).</w:t>
      </w:r>
    </w:p>
    <w:p w14:paraId="7EC1CDC7" w14:textId="77777777" w:rsidR="00F11B80" w:rsidRPr="00F11B80" w:rsidRDefault="00F11B80" w:rsidP="00F11B80">
      <w:pPr>
        <w:rPr>
          <w:lang w:val="es-MX"/>
        </w:rPr>
      </w:pPr>
      <w:r w:rsidRPr="00F11B80">
        <w:rPr>
          <w:lang w:val="es-MX"/>
        </w:rPr>
        <w:lastRenderedPageBreak/>
        <w:t>La reproducibilidad computacional permite obtener resultados a partir de datos y código. Se organizan carpetas, se automatizan transformaciones y se conserva un entorno. Un cuaderno ejecutable puede combinar explicación, código y salida, aunque debe correr desde el inicio sin pasos ocultos. Las rutas y dependencias se gestionan. Los datos que no pueden compartirse se acompañan de metadatos, código y procedimientos de acceso, o de una versión sintética. La inteligencia artificial ayuda a documentar, pero la prueba final consiste en reproducir en un entorno limpio (Sandve et al., 2013; Peng, 2011).</w:t>
      </w:r>
    </w:p>
    <w:p w14:paraId="6C00492C" w14:textId="77777777" w:rsidR="00F11B80" w:rsidRPr="00F11B80" w:rsidRDefault="00F11B80" w:rsidP="00F11B80">
      <w:pPr>
        <w:rPr>
          <w:lang w:val="es-MX"/>
        </w:rPr>
      </w:pPr>
      <w:r w:rsidRPr="00F11B80">
        <w:rPr>
          <w:lang w:val="es-MX"/>
        </w:rPr>
        <w:t>Los principios FAIR promueven datos localizables, accesibles, interoperables y reutilizables. Accesible no significa necesariamente abierto. Restricciones éticas o legales pueden exigir acceso controlado. Los metadatos, identificadores y vocabularios aumentan utilidad. La inteligencia artificial se beneficia de datos bien descritos, pero también puede incentivar recopilación excesiva. El plan de gestión establece almacenamiento, permisos, respaldo, preservación y disposición. Compartir requiere revisar consentimiento, confidencialidad y derechos. La apertura responsable equilibra reproducibilidad y protección (Wilkinson et al., 2016; UNESCO, 2021).</w:t>
      </w:r>
    </w:p>
    <w:p w14:paraId="6203FCD1" w14:textId="77777777" w:rsidR="00F11B80" w:rsidRPr="00F11B80" w:rsidRDefault="00F11B80" w:rsidP="00F11B80">
      <w:pPr>
        <w:rPr>
          <w:lang w:val="es-MX"/>
        </w:rPr>
      </w:pPr>
      <w:r w:rsidRPr="00F11B80">
        <w:rPr>
          <w:lang w:val="es-MX"/>
        </w:rPr>
        <w:t>La documentación de modelos describe propósito, datos, métricas, límites y uso previsto. Las tarjetas de modelos ayudan a comunicar rendimiento y diferencias entre grupos. En investigación, una salida generativa también debería contextualizarse con versión, fecha y configuración. No siempre es posible reproducir un servicio cambiante, por lo que se conserva entrada, salida relevante y decisiones. La documentación no garantiza ausencia de daño, pero permite auditoría. Debe actualizarse cuando cambia el sistema (Mitchell et al., 2019; Tabassi, 2023).</w:t>
      </w:r>
    </w:p>
    <w:p w14:paraId="4E06C40D" w14:textId="11503FDA" w:rsidR="00F11B80" w:rsidRPr="00F11B80" w:rsidRDefault="00F11B80" w:rsidP="00F11B80">
      <w:pPr>
        <w:rPr>
          <w:lang w:val="es-MX"/>
        </w:rPr>
      </w:pPr>
      <w:r w:rsidRPr="00F11B80">
        <w:rPr>
          <w:b/>
          <w:bCs/>
          <w:lang w:val="es-MX"/>
        </w:rPr>
        <w:t xml:space="preserve">Tabla </w:t>
      </w:r>
      <w:r w:rsidR="00FA6F60">
        <w:rPr>
          <w:b/>
          <w:bCs/>
          <w:lang w:val="es-MX"/>
        </w:rPr>
        <w:t>4</w:t>
      </w:r>
      <w:r w:rsidRPr="00F11B80">
        <w:rPr>
          <w:b/>
          <w:bCs/>
          <w:lang w:val="es-MX"/>
        </w:rPr>
        <w:t>.3. Salvaguardias para el análisis de datos con IA</w:t>
      </w:r>
    </w:p>
    <w:tbl>
      <w:tblPr>
        <w:tblStyle w:val="Tablanormal2"/>
        <w:tblW w:w="8392" w:type="dxa"/>
        <w:tblLook w:val="04A0" w:firstRow="1" w:lastRow="0" w:firstColumn="1" w:lastColumn="0" w:noHBand="0" w:noVBand="1"/>
      </w:tblPr>
      <w:tblGrid>
        <w:gridCol w:w="2098"/>
        <w:gridCol w:w="2098"/>
        <w:gridCol w:w="2098"/>
        <w:gridCol w:w="2098"/>
      </w:tblGrid>
      <w:tr w:rsidR="00F11B80" w:rsidRPr="00F11B80" w14:paraId="03894C02" w14:textId="77777777" w:rsidTr="009739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49C16AA" w14:textId="77777777" w:rsidR="00F11B80" w:rsidRPr="009739CB" w:rsidRDefault="00F11B80" w:rsidP="009739CB">
            <w:pPr>
              <w:spacing w:before="0" w:after="0" w:line="240" w:lineRule="auto"/>
              <w:jc w:val="center"/>
              <w:rPr>
                <w:sz w:val="20"/>
                <w:szCs w:val="20"/>
                <w:lang w:val="es-MX"/>
              </w:rPr>
            </w:pPr>
            <w:r w:rsidRPr="009739CB">
              <w:rPr>
                <w:sz w:val="20"/>
                <w:szCs w:val="20"/>
                <w:lang w:val="es-MX"/>
              </w:rPr>
              <w:t>Dimensión</w:t>
            </w:r>
          </w:p>
        </w:tc>
        <w:tc>
          <w:tcPr>
            <w:tcW w:w="2098" w:type="dxa"/>
            <w:vAlign w:val="center"/>
            <w:hideMark/>
          </w:tcPr>
          <w:p w14:paraId="231E5FD6" w14:textId="77777777" w:rsidR="00F11B80" w:rsidRPr="009739CB" w:rsidRDefault="00F11B80" w:rsidP="009739C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Pregunta de control</w:t>
            </w:r>
          </w:p>
        </w:tc>
        <w:tc>
          <w:tcPr>
            <w:tcW w:w="2098" w:type="dxa"/>
            <w:vAlign w:val="center"/>
            <w:hideMark/>
          </w:tcPr>
          <w:p w14:paraId="5F4F53C1" w14:textId="77777777" w:rsidR="00F11B80" w:rsidRPr="009739CB" w:rsidRDefault="00F11B80" w:rsidP="009739C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Evidencia</w:t>
            </w:r>
          </w:p>
        </w:tc>
        <w:tc>
          <w:tcPr>
            <w:tcW w:w="2098" w:type="dxa"/>
            <w:vAlign w:val="center"/>
            <w:hideMark/>
          </w:tcPr>
          <w:p w14:paraId="014D0A1B" w14:textId="77777777" w:rsidR="00F11B80" w:rsidRPr="009739CB" w:rsidRDefault="00F11B80" w:rsidP="009739C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Responsable</w:t>
            </w:r>
          </w:p>
        </w:tc>
      </w:tr>
      <w:tr w:rsidR="00F11B80" w:rsidRPr="00F11B80" w14:paraId="52ABBB5C" w14:textId="77777777" w:rsidTr="00973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535A3EC" w14:textId="77777777" w:rsidR="00F11B80" w:rsidRPr="009739CB" w:rsidRDefault="00F11B80" w:rsidP="009739CB">
            <w:pPr>
              <w:spacing w:before="0" w:after="0" w:line="240" w:lineRule="auto"/>
              <w:rPr>
                <w:sz w:val="20"/>
                <w:szCs w:val="20"/>
                <w:lang w:val="es-MX"/>
              </w:rPr>
            </w:pPr>
            <w:r w:rsidRPr="009739CB">
              <w:rPr>
                <w:sz w:val="20"/>
                <w:szCs w:val="20"/>
                <w:lang w:val="es-MX"/>
              </w:rPr>
              <w:t>Calidad</w:t>
            </w:r>
          </w:p>
        </w:tc>
        <w:tc>
          <w:tcPr>
            <w:tcW w:w="2098" w:type="dxa"/>
            <w:vAlign w:val="center"/>
            <w:hideMark/>
          </w:tcPr>
          <w:p w14:paraId="35DE66BD"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¿Los datos son completos, consistentes y pertinentes?</w:t>
            </w:r>
          </w:p>
        </w:tc>
        <w:tc>
          <w:tcPr>
            <w:tcW w:w="2098" w:type="dxa"/>
            <w:vAlign w:val="center"/>
            <w:hideMark/>
          </w:tcPr>
          <w:p w14:paraId="30183E9F"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Diccionario y reporte de limpieza</w:t>
            </w:r>
          </w:p>
        </w:tc>
        <w:tc>
          <w:tcPr>
            <w:tcW w:w="2098" w:type="dxa"/>
            <w:vAlign w:val="center"/>
            <w:hideMark/>
          </w:tcPr>
          <w:p w14:paraId="2D272B0F"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Equipo de datos</w:t>
            </w:r>
          </w:p>
        </w:tc>
      </w:tr>
      <w:tr w:rsidR="00F11B80" w:rsidRPr="00F11B80" w14:paraId="2658A0AE" w14:textId="77777777" w:rsidTr="009739C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13F9B41" w14:textId="77777777" w:rsidR="00F11B80" w:rsidRPr="009739CB" w:rsidRDefault="00F11B80" w:rsidP="009739CB">
            <w:pPr>
              <w:spacing w:before="0" w:after="0" w:line="240" w:lineRule="auto"/>
              <w:rPr>
                <w:sz w:val="20"/>
                <w:szCs w:val="20"/>
                <w:lang w:val="es-MX"/>
              </w:rPr>
            </w:pPr>
            <w:r w:rsidRPr="009739CB">
              <w:rPr>
                <w:sz w:val="20"/>
                <w:szCs w:val="20"/>
                <w:lang w:val="es-MX"/>
              </w:rPr>
              <w:t>Validez</w:t>
            </w:r>
          </w:p>
        </w:tc>
        <w:tc>
          <w:tcPr>
            <w:tcW w:w="2098" w:type="dxa"/>
            <w:vAlign w:val="center"/>
            <w:hideMark/>
          </w:tcPr>
          <w:p w14:paraId="2033D67F"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¿El método responde a la pregunta y cumple supuestos?</w:t>
            </w:r>
          </w:p>
        </w:tc>
        <w:tc>
          <w:tcPr>
            <w:tcW w:w="2098" w:type="dxa"/>
            <w:vAlign w:val="center"/>
            <w:hideMark/>
          </w:tcPr>
          <w:p w14:paraId="7FB87D5B"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Plan analítico, diagnósticos y sensibilidad</w:t>
            </w:r>
          </w:p>
        </w:tc>
        <w:tc>
          <w:tcPr>
            <w:tcW w:w="2098" w:type="dxa"/>
            <w:vAlign w:val="center"/>
            <w:hideMark/>
          </w:tcPr>
          <w:p w14:paraId="63AE073D"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Investigador responsable</w:t>
            </w:r>
          </w:p>
        </w:tc>
      </w:tr>
      <w:tr w:rsidR="00F11B80" w:rsidRPr="00F11B80" w14:paraId="5E296070" w14:textId="77777777" w:rsidTr="00973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118EDCE" w14:textId="77777777" w:rsidR="00F11B80" w:rsidRPr="009739CB" w:rsidRDefault="00F11B80" w:rsidP="009739CB">
            <w:pPr>
              <w:spacing w:before="0" w:after="0" w:line="240" w:lineRule="auto"/>
              <w:rPr>
                <w:sz w:val="20"/>
                <w:szCs w:val="20"/>
                <w:lang w:val="es-MX"/>
              </w:rPr>
            </w:pPr>
            <w:r w:rsidRPr="009739CB">
              <w:rPr>
                <w:sz w:val="20"/>
                <w:szCs w:val="20"/>
                <w:lang w:val="es-MX"/>
              </w:rPr>
              <w:t>Reproducibilidad</w:t>
            </w:r>
          </w:p>
        </w:tc>
        <w:tc>
          <w:tcPr>
            <w:tcW w:w="2098" w:type="dxa"/>
            <w:vAlign w:val="center"/>
            <w:hideMark/>
          </w:tcPr>
          <w:p w14:paraId="2467D353"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¿Puede repetirse el flujo con datos y código autorizados?</w:t>
            </w:r>
          </w:p>
        </w:tc>
        <w:tc>
          <w:tcPr>
            <w:tcW w:w="2098" w:type="dxa"/>
            <w:vAlign w:val="center"/>
            <w:hideMark/>
          </w:tcPr>
          <w:p w14:paraId="3E22E8AD"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Entorno, versiones, código y bitácora</w:t>
            </w:r>
          </w:p>
        </w:tc>
        <w:tc>
          <w:tcPr>
            <w:tcW w:w="2098" w:type="dxa"/>
            <w:vAlign w:val="center"/>
            <w:hideMark/>
          </w:tcPr>
          <w:p w14:paraId="5C45004D"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Analista</w:t>
            </w:r>
          </w:p>
        </w:tc>
      </w:tr>
      <w:tr w:rsidR="00F11B80" w:rsidRPr="00F11B80" w14:paraId="5C6339B9" w14:textId="77777777" w:rsidTr="009739CB">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4659A0D" w14:textId="77777777" w:rsidR="00F11B80" w:rsidRPr="009739CB" w:rsidRDefault="00F11B80" w:rsidP="009739CB">
            <w:pPr>
              <w:spacing w:before="0" w:after="0" w:line="240" w:lineRule="auto"/>
              <w:rPr>
                <w:sz w:val="20"/>
                <w:szCs w:val="20"/>
                <w:lang w:val="es-MX"/>
              </w:rPr>
            </w:pPr>
            <w:r w:rsidRPr="009739CB">
              <w:rPr>
                <w:sz w:val="20"/>
                <w:szCs w:val="20"/>
                <w:lang w:val="es-MX"/>
              </w:rPr>
              <w:t>Equidad</w:t>
            </w:r>
          </w:p>
        </w:tc>
        <w:tc>
          <w:tcPr>
            <w:tcW w:w="2098" w:type="dxa"/>
            <w:vAlign w:val="center"/>
            <w:hideMark/>
          </w:tcPr>
          <w:p w14:paraId="78D3DE1A"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¿El rendimiento cambia entre grupos o contextos?</w:t>
            </w:r>
          </w:p>
        </w:tc>
        <w:tc>
          <w:tcPr>
            <w:tcW w:w="2098" w:type="dxa"/>
            <w:vAlign w:val="center"/>
            <w:hideMark/>
          </w:tcPr>
          <w:p w14:paraId="72FC9589"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Métricas desagregadas y análisis de errores</w:t>
            </w:r>
          </w:p>
        </w:tc>
        <w:tc>
          <w:tcPr>
            <w:tcW w:w="2098" w:type="dxa"/>
            <w:vAlign w:val="center"/>
            <w:hideMark/>
          </w:tcPr>
          <w:p w14:paraId="5F019FFB" w14:textId="77777777" w:rsidR="00F11B80" w:rsidRPr="009739CB" w:rsidRDefault="00F11B80" w:rsidP="009739CB">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739CB">
              <w:rPr>
                <w:sz w:val="20"/>
                <w:szCs w:val="20"/>
                <w:lang w:val="es-MX"/>
              </w:rPr>
              <w:t>Equipo interdisciplinario</w:t>
            </w:r>
          </w:p>
        </w:tc>
      </w:tr>
      <w:tr w:rsidR="00F11B80" w:rsidRPr="00F11B80" w14:paraId="185008F0" w14:textId="77777777" w:rsidTr="00973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5AA4A5E" w14:textId="77777777" w:rsidR="00F11B80" w:rsidRPr="009739CB" w:rsidRDefault="00F11B80" w:rsidP="009739CB">
            <w:pPr>
              <w:spacing w:before="0" w:after="0" w:line="240" w:lineRule="auto"/>
              <w:rPr>
                <w:sz w:val="20"/>
                <w:szCs w:val="20"/>
                <w:lang w:val="es-MX"/>
              </w:rPr>
            </w:pPr>
            <w:r w:rsidRPr="009739CB">
              <w:rPr>
                <w:sz w:val="20"/>
                <w:szCs w:val="20"/>
                <w:lang w:val="es-MX"/>
              </w:rPr>
              <w:t>Privacidad</w:t>
            </w:r>
          </w:p>
        </w:tc>
        <w:tc>
          <w:tcPr>
            <w:tcW w:w="2098" w:type="dxa"/>
            <w:vAlign w:val="center"/>
            <w:hideMark/>
          </w:tcPr>
          <w:p w14:paraId="50F3E205"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¿El tratamiento respeta consentimiento y minimización?</w:t>
            </w:r>
          </w:p>
        </w:tc>
        <w:tc>
          <w:tcPr>
            <w:tcW w:w="2098" w:type="dxa"/>
            <w:vAlign w:val="center"/>
            <w:hideMark/>
          </w:tcPr>
          <w:p w14:paraId="3732CCE8"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Evaluación de riesgo y controles de acceso</w:t>
            </w:r>
          </w:p>
        </w:tc>
        <w:tc>
          <w:tcPr>
            <w:tcW w:w="2098" w:type="dxa"/>
            <w:vAlign w:val="center"/>
            <w:hideMark/>
          </w:tcPr>
          <w:p w14:paraId="32EBBA1F" w14:textId="77777777" w:rsidR="00F11B80" w:rsidRPr="009739CB" w:rsidRDefault="00F11B80" w:rsidP="009739CB">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739CB">
              <w:rPr>
                <w:sz w:val="20"/>
                <w:szCs w:val="20"/>
                <w:lang w:val="es-MX"/>
              </w:rPr>
              <w:t>Responsable de datos</w:t>
            </w:r>
          </w:p>
        </w:tc>
      </w:tr>
    </w:tbl>
    <w:p w14:paraId="51739237" w14:textId="77777777" w:rsidR="00F11B80" w:rsidRPr="00F11B80" w:rsidRDefault="00F11B80" w:rsidP="00F11B80">
      <w:pPr>
        <w:rPr>
          <w:lang w:val="es-MX"/>
        </w:rPr>
      </w:pPr>
      <w:r w:rsidRPr="00F11B80">
        <w:rPr>
          <w:i/>
          <w:iCs/>
          <w:lang w:val="es-MX"/>
        </w:rPr>
        <w:t>Fuente: elaboración propia a partir de las referencias citadas en el apartado.</w:t>
      </w:r>
    </w:p>
    <w:p w14:paraId="59BD1634" w14:textId="7CB629F8" w:rsidR="00F11B80" w:rsidRPr="00F11B80" w:rsidRDefault="00F11B80" w:rsidP="009739CB">
      <w:pPr>
        <w:pStyle w:val="Ttulo3"/>
        <w:rPr>
          <w:lang w:val="es-MX"/>
        </w:rPr>
      </w:pPr>
      <w:bookmarkStart w:id="89" w:name="_Toc239440946"/>
      <w:r w:rsidRPr="00F11B80">
        <w:rPr>
          <w:lang w:val="es-MX"/>
        </w:rPr>
        <w:t>Interpretación, datos multimodales y bitácora analítica</w:t>
      </w:r>
      <w:bookmarkEnd w:id="89"/>
    </w:p>
    <w:p w14:paraId="4609BB02" w14:textId="77777777" w:rsidR="00F11B80" w:rsidRPr="00F11B80" w:rsidRDefault="00F11B80" w:rsidP="00F11B80">
      <w:pPr>
        <w:rPr>
          <w:lang w:val="es-MX"/>
        </w:rPr>
      </w:pPr>
      <w:r w:rsidRPr="00F11B80">
        <w:rPr>
          <w:lang w:val="es-MX"/>
        </w:rPr>
        <w:t xml:space="preserve">La interpretación sigue siendo responsabilidad humana. Un patrón puede ser estadísticamente estable y científicamente trivial, o importante aunque incierto. El investigador relaciona </w:t>
      </w:r>
      <w:r w:rsidRPr="00F11B80">
        <w:rPr>
          <w:lang w:val="es-MX"/>
        </w:rPr>
        <w:lastRenderedPageBreak/>
        <w:t xml:space="preserve">resultados con teoría, diseño y población. Busca explicaciones alternativas y evita extrapolar. Los sistemas pueden generar narrativas con rapidez, lo que aumenta el riesgo de seleccionar la más atractiva. La conclusión debe surgir de criterios definidos y evidencia, no de la elocuencia. Cuando varios análisis son razonables, se presentan sensibilidad y límites. La honestidad sobre incertidumbre fortalece, no debilita, el estudio (Wasserstein et al., 2019;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7E5807B3" w14:textId="77777777" w:rsidR="00F11B80" w:rsidRPr="00F11B80" w:rsidRDefault="00F11B80" w:rsidP="00F11B80">
      <w:pPr>
        <w:rPr>
          <w:lang w:val="es-MX"/>
        </w:rPr>
      </w:pPr>
      <w:r w:rsidRPr="00F11B80">
        <w:rPr>
          <w:lang w:val="es-MX"/>
        </w:rPr>
        <w:t>El análisis de imágenes, audio y texto mediante modelos requiere evaluar representaciones. Una etiqueta producida por visión o lenguaje puede fallar según iluminación, acento, dialecto o contexto. El investigador construye un conjunto de validación pertinente, examina errores y documenta preprocesamiento. No asume que un modelo general funciona en la población de estudio. Si la salida se utiliza como variable, su error forma parte de la medición y afecta inferencias. Los casos ambiguos requieren revisión humana y una categoría adecuada. La automatización de codificación no elimina la necesidad de teoría ni control (Mitchell et al., 2019; Tabassi, 2023).</w:t>
      </w:r>
    </w:p>
    <w:p w14:paraId="122C6547" w14:textId="77777777" w:rsidR="00F11B80" w:rsidRPr="00F11B80" w:rsidRDefault="00F11B80" w:rsidP="00F11B80">
      <w:pPr>
        <w:rPr>
          <w:lang w:val="es-MX"/>
        </w:rPr>
      </w:pPr>
      <w:r w:rsidRPr="00F11B80">
        <w:rPr>
          <w:lang w:val="es-MX"/>
        </w:rPr>
        <w:t xml:space="preserve">La imputación de valores faltantes necesita comprender por qué faltan. Completar con una predicción generativa sin modelo explícito oculta incertidumbre. El investigador describe patrón, elige método y realiza análisis de sensibilidad. Los valores imputados se distinguen de observados. En datos cualitativos, inventar fragmentos no constituye imputación legítima. Cuando la ausencia contiene información, se considera en interpretación. El objetivo no es lograr una tabla completa, sino obtener inferencias defendibles con la información disponible (Gelman et al., 2020;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4C360306" w14:textId="77777777" w:rsidR="00F11B80" w:rsidRPr="00F11B80" w:rsidRDefault="00F11B80" w:rsidP="00F11B80">
      <w:pPr>
        <w:rPr>
          <w:lang w:val="es-MX"/>
        </w:rPr>
      </w:pPr>
      <w:r w:rsidRPr="00F11B80">
        <w:rPr>
          <w:lang w:val="es-MX"/>
        </w:rPr>
        <w:t>La documentación de decisiones analíticas puede mantenerse en una bitácora. Registra cambios de variables, exclusiones, modelos probados, errores y razones. La inteligencia artificial puede resumir sesiones, pero el investigador valida y evita incluir datos sensibles. La bitácora distingue decisiones planificadas, exploratorias y correctivas. También facilita supervisión y escritura de métodos. En equipos, cada cambio importante se revisa mediante control de versiones. Esta memoria reduce reconstrucciones retrospectivas y hace visibles grados de libertad que podrían afectar conclusiones (Sandve et al., 2013; Peng, 2011).</w:t>
      </w:r>
    </w:p>
    <w:p w14:paraId="4F1ED9CA" w14:textId="0513793A" w:rsidR="00F11B80" w:rsidRPr="00F11B80" w:rsidRDefault="00F11B80" w:rsidP="003E1CE6">
      <w:pPr>
        <w:pStyle w:val="Ttulo2"/>
        <w:rPr>
          <w:lang w:val="es-MX"/>
        </w:rPr>
      </w:pPr>
      <w:bookmarkStart w:id="90" w:name="_Toc239440947"/>
      <w:r w:rsidRPr="00F11B80">
        <w:rPr>
          <w:lang w:val="es-MX"/>
        </w:rPr>
        <w:t>Integridad, autoría y transparencia</w:t>
      </w:r>
      <w:bookmarkEnd w:id="90"/>
    </w:p>
    <w:p w14:paraId="6D9607B3" w14:textId="7FCF19ED" w:rsidR="00F11B80" w:rsidRPr="00F11B80" w:rsidRDefault="00F11B80" w:rsidP="003E1CE6">
      <w:pPr>
        <w:pStyle w:val="Ttulo3"/>
        <w:rPr>
          <w:lang w:val="es-MX"/>
        </w:rPr>
      </w:pPr>
      <w:bookmarkStart w:id="91" w:name="_Toc239440948"/>
      <w:r w:rsidRPr="00F11B80">
        <w:rPr>
          <w:lang w:val="es-MX"/>
        </w:rPr>
        <w:t>Integridad, autoría, contribuciones y transparencia</w:t>
      </w:r>
      <w:bookmarkEnd w:id="91"/>
    </w:p>
    <w:p w14:paraId="2FB25EC1" w14:textId="77777777" w:rsidR="00F11B80" w:rsidRPr="00F11B80" w:rsidRDefault="00F11B80" w:rsidP="00F11B80">
      <w:pPr>
        <w:rPr>
          <w:lang w:val="es-MX"/>
        </w:rPr>
      </w:pPr>
      <w:r w:rsidRPr="00F11B80">
        <w:rPr>
          <w:lang w:val="es-MX"/>
        </w:rPr>
        <w:t xml:space="preserve">La integridad científica comprende honestidad, rigor, transparencia, cuidado y responsabilidad. No se reduce a evitar plagio. Incluye formular registros fieles, conservar datos, reconocer límites, asignar crédito, gestionar conflictos y corregir errores. La inteligencia artificial introduce nuevas formas de asistencia, pero los principios permanecen. La institución debe orientar usos y formar criterio, no confiar solo en detectores. Las reglas se adaptan a disciplinas y fases. Una práctica es </w:t>
      </w:r>
      <w:r w:rsidRPr="00F11B80">
        <w:rPr>
          <w:lang w:val="es-MX"/>
        </w:rPr>
        <w:lastRenderedPageBreak/>
        <w:t>íntegra cuando permite comprender quién hizo qué, con qué evidencia y bajo qué controles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UNESCO, 2021).</w:t>
      </w:r>
    </w:p>
    <w:p w14:paraId="68E9EE59" w14:textId="77777777" w:rsidR="00F11B80" w:rsidRPr="00F11B80" w:rsidRDefault="00F11B80" w:rsidP="00F11B80">
      <w:pPr>
        <w:rPr>
          <w:lang w:val="es-MX"/>
        </w:rPr>
      </w:pPr>
      <w:r w:rsidRPr="00F11B80">
        <w:rPr>
          <w:lang w:val="es-MX"/>
        </w:rPr>
        <w:t>La autoría atribuye crédito y responsabilidad. Los criterios del ICMJE exigen contribución sustancial, participación en redacción o revisión, aprobación final y responsabilidad por el trabajo. Un sistema de inteligencia artificial no puede cumplirlos, porque no responde ante preguntas, conflictos o errores. Por ello, no debe figurar como autor. Las personas que utilizan la herramienta siguen siendo responsables de exactitud, originalidad, citas y permisos. La declaración de asistencia no transfiere responsabilidad. Las revistas pueden establecer detalles diferentes, por lo que se consulta la política vigente (COPE, 2023; ICMJE, 2026).</w:t>
      </w:r>
    </w:p>
    <w:p w14:paraId="7169BD2C" w14:textId="77777777" w:rsidR="00F11B80" w:rsidRPr="00F11B80" w:rsidRDefault="00F11B80" w:rsidP="00F11B80">
      <w:pPr>
        <w:rPr>
          <w:lang w:val="es-MX"/>
        </w:rPr>
      </w:pPr>
      <w:r w:rsidRPr="00F11B80">
        <w:rPr>
          <w:lang w:val="es-MX"/>
        </w:rPr>
        <w:t xml:space="preserve">La taxonomía CRediT describe contribuciones como conceptualización, metodología, análisis, software, datos, escritura y supervisión. Su uso ayuda a prevenir autorías honorarias y conflictos. La inteligencia artificial no se incorpora como contribuyente humano, pero la asistencia puede describirse en métodos o agradecimientos. El equipo acuerda funciones al inicio y las revisa cuando cambian. Cada autor confirma su contribución. La taxonomía no reemplaza criterios de autoría ni determina orden. Hace visible el trabajo y facilita conversación (Brand et al., 2015;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008B2FF5" w14:textId="77777777" w:rsidR="00F11B80" w:rsidRPr="00F11B80" w:rsidRDefault="00F11B80" w:rsidP="00F11B80">
      <w:pPr>
        <w:rPr>
          <w:lang w:val="es-MX"/>
        </w:rPr>
      </w:pPr>
      <w:r w:rsidRPr="00F11B80">
        <w:rPr>
          <w:lang w:val="es-MX"/>
        </w:rPr>
        <w:t>La transparencia debe indicar herramienta, versión, fecha, propósito y alcance. También describe entradas relevantes, validación y modificaciones humanas cuando afectan reproducibilidad. No siempre se publican instrucciones completas, porque pueden contener datos o material protegido. En esos casos se ofrece una descripción suficiente y se conserva registro seguro. Frases generales como se utilizó IA no permiten evaluar. La declaración se ubica según política, en métodos, agradecimientos o nota. Si el uso fue solo una corrección ortográfica convencional, algunas revistas no exigen declaración, pero el autor comprueba (ICMJE, 2026; COPE, 2023).</w:t>
      </w:r>
    </w:p>
    <w:p w14:paraId="76BB7DED" w14:textId="2FE47F72" w:rsidR="00F11B80" w:rsidRPr="00F11B80" w:rsidRDefault="00F11B80" w:rsidP="003E1CE6">
      <w:pPr>
        <w:pStyle w:val="Ttulo3"/>
        <w:rPr>
          <w:lang w:val="es-MX"/>
        </w:rPr>
      </w:pPr>
      <w:bookmarkStart w:id="92" w:name="_Toc239440949"/>
      <w:r w:rsidRPr="00F11B80">
        <w:rPr>
          <w:lang w:val="es-MX"/>
        </w:rPr>
        <w:t>Citas, confidencialidad, privacidad y sesgos</w:t>
      </w:r>
      <w:bookmarkEnd w:id="92"/>
    </w:p>
    <w:p w14:paraId="11DAE895" w14:textId="77777777" w:rsidR="00F11B80" w:rsidRPr="00F11B80" w:rsidRDefault="00F11B80" w:rsidP="00F11B80">
      <w:pPr>
        <w:rPr>
          <w:lang w:val="es-MX"/>
        </w:rPr>
      </w:pPr>
      <w:r w:rsidRPr="00F11B80">
        <w:rPr>
          <w:lang w:val="es-MX"/>
        </w:rPr>
        <w:t xml:space="preserve">La responsabilidad sobre citas es indelegable. Los modelos pueden reproducir fragmentos sin atribución o inventar fuentes. Los autores verifican que cada cita existe, apoya la afirmación y está representada con fidelidad. También obtienen permisos para materiales protegidos. No se cita el sistema como fuente de conocimiento cuando la afirmación puede rastrearse a evidencia primaria. Si la interacción misma es objeto de estudio, se documenta como dato o comunicación según normas. La transparencia no convierte una referencia falsa en aceptable (ICMJE, 2026; American </w:t>
      </w:r>
      <w:proofErr w:type="spellStart"/>
      <w:r w:rsidRPr="00F11B80">
        <w:rPr>
          <w:lang w:val="es-MX"/>
        </w:rPr>
        <w:t>Psychological</w:t>
      </w:r>
      <w:proofErr w:type="spellEnd"/>
      <w:r w:rsidRPr="00F11B80">
        <w:rPr>
          <w:lang w:val="es-MX"/>
        </w:rPr>
        <w:t xml:space="preserve"> </w:t>
      </w:r>
      <w:proofErr w:type="spellStart"/>
      <w:r w:rsidRPr="00F11B80">
        <w:rPr>
          <w:lang w:val="es-MX"/>
        </w:rPr>
        <w:t>Association</w:t>
      </w:r>
      <w:proofErr w:type="spellEnd"/>
      <w:r w:rsidRPr="00F11B80">
        <w:rPr>
          <w:lang w:val="es-MX"/>
        </w:rPr>
        <w:t>, 2020).</w:t>
      </w:r>
    </w:p>
    <w:p w14:paraId="16196855" w14:textId="77777777" w:rsidR="00F11B80" w:rsidRPr="00F11B80" w:rsidRDefault="00F11B80" w:rsidP="00F11B80">
      <w:pPr>
        <w:rPr>
          <w:lang w:val="es-MX"/>
        </w:rPr>
      </w:pPr>
      <w:r w:rsidRPr="00F11B80">
        <w:rPr>
          <w:lang w:val="es-MX"/>
        </w:rPr>
        <w:t xml:space="preserve">La confidencialidad limita el uso en revisión por pares, manuscritos no publicados y datos sensibles. Un revisor no debe cargar un trabajo en una plataforma que pueda retenerlo sin autorización. Lo mismo se aplica a propuestas, expedientes y propiedad intelectual. Los editores establecen herramientas aprobadas y condiciones. Si se utiliza asistencia local segura, se declara </w:t>
      </w:r>
      <w:r w:rsidRPr="00F11B80">
        <w:rPr>
          <w:lang w:val="es-MX"/>
        </w:rPr>
        <w:lastRenderedPageBreak/>
        <w:t>cuando la política lo pide y se mantiene juicio. La obligación de confidencialidad protege autores y participantes, y puede superar cualquier ganancia de velocidad (ICMJE, 2026; COPE, 2023).</w:t>
      </w:r>
    </w:p>
    <w:p w14:paraId="67C4544D" w14:textId="77777777" w:rsidR="00F11B80" w:rsidRPr="00F11B80" w:rsidRDefault="00F11B80" w:rsidP="00F11B80">
      <w:pPr>
        <w:rPr>
          <w:lang w:val="es-MX"/>
        </w:rPr>
      </w:pPr>
      <w:r w:rsidRPr="00F11B80">
        <w:rPr>
          <w:lang w:val="es-MX"/>
        </w:rPr>
        <w:t xml:space="preserve">La privacidad de participantes requiere consentimiento, minimización y seguridad. Un sistema puede inferir atributos no previstos desde texto, voz o imagen. Estas inferencias no se utilizan por conveniencia. El protocolo especifica qué datos procesa cada servicio, dónde se almacenan y cuándo se eliminan. Cambios sustantivos se someten a revisión ética. La desidentificación se prueba y se evita publicar ejemplos </w:t>
      </w:r>
      <w:proofErr w:type="spellStart"/>
      <w:r w:rsidRPr="00F11B80">
        <w:rPr>
          <w:lang w:val="es-MX"/>
        </w:rPr>
        <w:t>reidentificables</w:t>
      </w:r>
      <w:proofErr w:type="spellEnd"/>
      <w:r w:rsidRPr="00F11B80">
        <w:rPr>
          <w:lang w:val="es-MX"/>
        </w:rPr>
        <w:t>. Los equipos reciben formación y reportan incidentes. La innovación metodológica no suspende derechos (UNESCO, 2021; Tabassi, 2023).</w:t>
      </w:r>
    </w:p>
    <w:p w14:paraId="71E2FC7D" w14:textId="77777777" w:rsidR="00F11B80" w:rsidRPr="00F11B80" w:rsidRDefault="00F11B80" w:rsidP="00F11B80">
      <w:pPr>
        <w:rPr>
          <w:lang w:val="es-MX"/>
        </w:rPr>
      </w:pPr>
      <w:r w:rsidRPr="00F11B80">
        <w:rPr>
          <w:lang w:val="es-MX"/>
        </w:rPr>
        <w:t>El sesgo puede afectar preguntas, corpus, análisis y escritura. Los modelos reflejan distribuciones y valores de sus datos. Pueden invisibilizar literatura regional, priorizar inglés o producir categorías estereotipadas. El investigador diversifica fuentes, compara salidas y consulta conocimiento local. También informa límites de cobertura. En análisis, examina desempeño por grupos y evita tratar una categoría social como esencia. La revisión humana debe incluir perspectivas relevantes. Pedir al mismo sistema que elimine su sesgo no constituye una auditoría independiente (Bender et al., 2021; UNESCO, 2021).</w:t>
      </w:r>
    </w:p>
    <w:p w14:paraId="2BFD448B" w14:textId="5CBDAB47" w:rsidR="00F11B80" w:rsidRPr="00F11B80" w:rsidRDefault="00F11B80" w:rsidP="003E1CE6">
      <w:pPr>
        <w:pStyle w:val="Ttulo3"/>
        <w:rPr>
          <w:lang w:val="es-MX"/>
        </w:rPr>
      </w:pPr>
      <w:bookmarkStart w:id="93" w:name="_Toc239440950"/>
      <w:r w:rsidRPr="00F11B80">
        <w:rPr>
          <w:lang w:val="es-MX"/>
        </w:rPr>
        <w:t>Fabricación, plagio, duplicación y conflictos de interés</w:t>
      </w:r>
      <w:bookmarkEnd w:id="93"/>
    </w:p>
    <w:p w14:paraId="2E3B4929" w14:textId="77777777" w:rsidR="00F11B80" w:rsidRPr="00F11B80" w:rsidRDefault="00F11B80" w:rsidP="00F11B80">
      <w:pPr>
        <w:rPr>
          <w:lang w:val="es-MX"/>
        </w:rPr>
      </w:pPr>
      <w:r w:rsidRPr="00F11B80">
        <w:rPr>
          <w:lang w:val="es-MX"/>
        </w:rPr>
        <w:t>La fabricación consiste en inventar datos o resultados, y la falsificación en manipular materiales o procesos. Una salida sintética no puede presentarse como observación real. Los datos sintéticos tienen usos para prueba o privacidad, pero se etiquetan y generan mediante un procedimiento documentado. La inteligencia artificial puede completar celdas o entrevistas de manera plausible, lo que aumenta riesgo. Los investigadores bloquean transformaciones no autorizadas, conservan originales y revisan cambios. Si se imputan datos, se aplica un método justificado y se informa. La fluidez nunca convierte invención en evidencia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UNESCO, 2021).</w:t>
      </w:r>
    </w:p>
    <w:p w14:paraId="33727A5E" w14:textId="77777777" w:rsidR="00F11B80" w:rsidRPr="00F11B80" w:rsidRDefault="00F11B80" w:rsidP="00F11B80">
      <w:pPr>
        <w:rPr>
          <w:lang w:val="es-MX"/>
        </w:rPr>
      </w:pPr>
      <w:r w:rsidRPr="00F11B80">
        <w:rPr>
          <w:lang w:val="es-MX"/>
        </w:rPr>
        <w:t>El plagio incluye apropiarse de palabras o ideas sin reconocimiento. La generación automática complica la detección porque produce texto nuevo a partir de patrones, pero no elimina riesgos de similitud ni derechos. Los autores revisan, atribuyen fuentes y no utilizan la herramienta para disfrazar copia. Los detectores presentan errores y no deben ser única evidencia. La respuesta institucional se centra en procedimientos, educación y análisis del manuscrito. La integridad se demuestra mediante trazabilidad y comprensión, no por una puntuación de detector (COPE, 2023; Miao &amp; Holmes, 2023).</w:t>
      </w:r>
    </w:p>
    <w:p w14:paraId="49CD4522" w14:textId="77777777" w:rsidR="00F11B80" w:rsidRPr="00F11B80" w:rsidRDefault="00F11B80" w:rsidP="00F11B80">
      <w:pPr>
        <w:rPr>
          <w:lang w:val="es-MX"/>
        </w:rPr>
      </w:pPr>
      <w:r w:rsidRPr="00F11B80">
        <w:rPr>
          <w:lang w:val="es-MX"/>
        </w:rPr>
        <w:t xml:space="preserve">La publicación duplicada y el fraccionamiento también afectan integridad. Un sistema puede facilitar producir versiones similares o ampliar artificialmente un manuscrito. Los autores declaran trabajos relacionados, citan versiones previas y explican solapamientos. La reutilización de métodos propios puede ser legítima con transparencia. Traducir un artículo no crea </w:t>
      </w:r>
      <w:r w:rsidRPr="00F11B80">
        <w:rPr>
          <w:lang w:val="es-MX"/>
        </w:rPr>
        <w:lastRenderedPageBreak/>
        <w:t xml:space="preserve">automáticamente una obra nueva. Las decisiones corresponden a políticas editoriales y acuerdos. La eficiencia no justifica saturar literatura con contribuciones mínimas (ICMJE, 2026;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62E21326" w14:textId="77777777" w:rsidR="00F11B80" w:rsidRDefault="00F11B80" w:rsidP="00F11B80">
      <w:pPr>
        <w:rPr>
          <w:lang w:val="es-MX"/>
        </w:rPr>
      </w:pPr>
      <w:r w:rsidRPr="00F11B80">
        <w:rPr>
          <w:lang w:val="es-MX"/>
        </w:rPr>
        <w:t>Los conflictos de interés incluyen relaciones financieras, profesionales y personales que podrían influir. La dependencia de un proveedor, financiamiento o acceso privilegiado a una herramienta se declara cuando es relevante. Un sistema no puede decidir qué constituye conflicto. El equipo identifica relaciones y la revista determina gestión. La declaración no implica conducta incorrecta, permite valorar contexto. También se transparenta si un proveedor participó en diseño, análisis o escritura. La autonomía científica requiere que autores conserven acceso a datos y derecho a publicar (ICMJE, 2026; UNESCO, 2021).</w:t>
      </w:r>
    </w:p>
    <w:p w14:paraId="0B2470EF" w14:textId="54619B21" w:rsidR="00E318B1" w:rsidRPr="00F11B80" w:rsidRDefault="00C645D4" w:rsidP="00F11B80">
      <w:pPr>
        <w:rPr>
          <w:lang w:val="es-MX"/>
        </w:rPr>
      </w:pPr>
      <w:r>
        <w:rPr>
          <w:noProof/>
          <w:lang w:val="es-MX"/>
        </w:rPr>
        <w:drawing>
          <wp:inline distT="0" distB="0" distL="0" distR="0" wp14:anchorId="0196DD4E" wp14:editId="2BD3698D">
            <wp:extent cx="5400675" cy="3600450"/>
            <wp:effectExtent l="0" t="0" r="9525" b="0"/>
            <wp:docPr id="124575997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160584EE" w14:textId="0035D985" w:rsidR="00F11B80" w:rsidRPr="00F11B80" w:rsidRDefault="00F11B80" w:rsidP="003E1CE6">
      <w:pPr>
        <w:pStyle w:val="Ttulo3"/>
        <w:rPr>
          <w:lang w:val="es-MX"/>
        </w:rPr>
      </w:pPr>
      <w:bookmarkStart w:id="94" w:name="_Toc239440951"/>
      <w:r w:rsidRPr="00F11B80">
        <w:rPr>
          <w:lang w:val="es-MX"/>
        </w:rPr>
        <w:t>Ciencia abierta, corrección, gobernanza y formación</w:t>
      </w:r>
      <w:bookmarkEnd w:id="94"/>
    </w:p>
    <w:p w14:paraId="6CC9560E" w14:textId="77777777" w:rsidR="00F11B80" w:rsidRPr="00F11B80" w:rsidRDefault="00F11B80" w:rsidP="00F11B80">
      <w:pPr>
        <w:rPr>
          <w:lang w:val="es-MX"/>
        </w:rPr>
      </w:pPr>
      <w:r w:rsidRPr="00F11B80">
        <w:rPr>
          <w:lang w:val="es-MX"/>
        </w:rPr>
        <w:t>La ciencia abierta favorece acceso, datos, código y materiales, pero debe ser responsable. Los repositorios, identificadores y licencias mejoran reutilización. El registro previo reduce flexibilidad oculta y los informes registrados separan evaluación de resultados. La inteligencia artificial puede mejorar documentación, aunque no decide qué puede abrirse. Se protegen comunidades, biodiversidad sensible, propiedad y seguridad. Cuando los datos no se comparten, se explica y se ofrece un procedimiento razonable. La apertura es un medio para confianza y colaboración, no una exposición indiscriminada (Nosek et al., 2015; Wilkinson et al., 2016).</w:t>
      </w:r>
    </w:p>
    <w:p w14:paraId="02F74EC0" w14:textId="77777777" w:rsidR="00F11B80" w:rsidRPr="00F11B80" w:rsidRDefault="00F11B80" w:rsidP="00F11B80">
      <w:pPr>
        <w:rPr>
          <w:lang w:val="es-MX"/>
        </w:rPr>
      </w:pPr>
      <w:r w:rsidRPr="00F11B80">
        <w:rPr>
          <w:lang w:val="es-MX"/>
        </w:rPr>
        <w:t xml:space="preserve">La corrección forma parte de la integridad. Si se descubre un error relacionado con una herramienta, los autores evalúan alcance, notifican y corrigen. No se oculta porque el resultado </w:t>
      </w:r>
      <w:r w:rsidRPr="00F11B80">
        <w:rPr>
          <w:lang w:val="es-MX"/>
        </w:rPr>
        <w:lastRenderedPageBreak/>
        <w:t xml:space="preserve">principal permanezca. Las revistas utilizan correcciones, expresiones de preocupación o retractaciones según gravedad. El equipo conserva registros para reconstruir. Una cultura que permite reconocer errores mejora ciencia. La responsabilidad continúa después de publicar y no puede transferirse a un sistema o proveedor (COPE, 2023;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6494D25F" w14:textId="77777777" w:rsidR="00F11B80" w:rsidRPr="00F11B80" w:rsidRDefault="00F11B80" w:rsidP="00F11B80">
      <w:pPr>
        <w:rPr>
          <w:lang w:val="es-MX"/>
        </w:rPr>
      </w:pPr>
      <w:r w:rsidRPr="00F11B80">
        <w:rPr>
          <w:lang w:val="es-MX"/>
        </w:rPr>
        <w:t>La gobernanza institucional define herramientas, datos, revisión y responsabilidades. Un registro de usos ayuda a evaluar riesgo. Los proyectos de alto impacto requieren evaluación ética, seguridad y auditoría. Bibliotecas, comités, oficinas de investigación, tecnología y protección de datos colaboran. Las políticas deben actualizarse y ofrecer ejemplos. Prohibiciones generales pueden desplazar usos a espacios opacos, mientras la ausencia de reglas genera desigualdad. La gobernanza combina formación, infraestructura y mecanismos de consulta (UNESCO, 2021; Tabassi, 2023).</w:t>
      </w:r>
    </w:p>
    <w:p w14:paraId="3C577050" w14:textId="77777777" w:rsidR="00F11B80" w:rsidRPr="00F11B80" w:rsidRDefault="00F11B80" w:rsidP="00F11B80">
      <w:pPr>
        <w:rPr>
          <w:lang w:val="es-MX"/>
        </w:rPr>
      </w:pPr>
      <w:r w:rsidRPr="00F11B80">
        <w:rPr>
          <w:lang w:val="es-MX"/>
        </w:rPr>
        <w:t>La formación investigadora debe integrar alfabetización en información, datos, escritura, ética y reproducibilidad. Un taller de instrucciones no basta. Los estudiantes practican búsqueda verificable, revisión de código, declaraciones y análisis de casos. Los supervisores modelan transparencia y discuten límites. La evaluación considera proceso y capacidad para explicar. También se ofrecen alternativas a servicios comerciales. La competencia se demuestra al elegir, supervisar y rechazar herramientas con criterios. Esta formación protege la calidad científica y prepara comunidades capaces de aprender ante cambios tecnológicos (Miao et al., 2024; OECD, 2026).</w:t>
      </w:r>
    </w:p>
    <w:p w14:paraId="017C89D4" w14:textId="55216270" w:rsidR="00F11B80" w:rsidRPr="00F11B80" w:rsidRDefault="00F11B80" w:rsidP="003E1CE6">
      <w:pPr>
        <w:pStyle w:val="Ttulo3"/>
        <w:rPr>
          <w:lang w:val="es-MX"/>
        </w:rPr>
      </w:pPr>
      <w:bookmarkStart w:id="95" w:name="_Toc239440952"/>
      <w:r w:rsidRPr="00F11B80">
        <w:rPr>
          <w:lang w:val="es-MX"/>
        </w:rPr>
        <w:t>Revisión por pares, sostenibilidad y acuerdos de equipo</w:t>
      </w:r>
      <w:bookmarkEnd w:id="95"/>
    </w:p>
    <w:p w14:paraId="21C0388C" w14:textId="77777777" w:rsidR="00F11B80" w:rsidRPr="00F11B80" w:rsidRDefault="00F11B80" w:rsidP="00F11B80">
      <w:pPr>
        <w:rPr>
          <w:lang w:val="es-MX"/>
        </w:rPr>
      </w:pPr>
      <w:r w:rsidRPr="00F11B80">
        <w:rPr>
          <w:lang w:val="es-MX"/>
        </w:rPr>
        <w:t>La revisión por pares con inteligencia artificial plantea obligaciones específicas. Los manuscritos son comunicaciones confidenciales y no deben cargarse en sistemas que retengan contenido. Un revisor puede utilizar herramientas autorizadas para tareas limitadas, pero conserva responsabilidad por el informe y declara el uso cuando se exige. La herramienta no sustituye competencia temática ni detecta por sí sola fraude. Los comentarios deben basarse en el manuscrito, ser respetuosos y evitar revelar información. Los editores proporcionan reglas claras y alternativas. La velocidad de revisión no justifica vulnerar confianza (ICMJE, 2026; COPE, 2023).</w:t>
      </w:r>
    </w:p>
    <w:p w14:paraId="664624FB" w14:textId="77777777" w:rsidR="00F11B80" w:rsidRPr="00F11B80" w:rsidRDefault="00F11B80" w:rsidP="00F11B80">
      <w:pPr>
        <w:rPr>
          <w:lang w:val="es-MX"/>
        </w:rPr>
      </w:pPr>
      <w:r w:rsidRPr="00F11B80">
        <w:rPr>
          <w:lang w:val="es-MX"/>
        </w:rPr>
        <w:t xml:space="preserve">La evaluación ética de una herramienta incluye impacto ambiental y concentración de recursos. Modelos grandes consumen infraestructura y pueden depender de proveedores con poca transparencia. El investigador considera si una función simple requiere ese recurso, si existe una alternativa y qué costos institucionales genera. También examina dependencia, acceso desigual y continuidad. Estas cuestiones no invalidan todo uso, pero amplían la responsabilidad más allá de </w:t>
      </w:r>
      <w:r w:rsidRPr="00F11B80">
        <w:rPr>
          <w:lang w:val="es-MX"/>
        </w:rPr>
        <w:lastRenderedPageBreak/>
        <w:t>exactitud. Una decisión metodológica debe ser proporcional al beneficio científico y al riesgo (UNESCO, 2021; Tabassi, 2023).</w:t>
      </w:r>
    </w:p>
    <w:p w14:paraId="2C059986" w14:textId="77777777" w:rsidR="00F11B80" w:rsidRPr="00F11B80" w:rsidRDefault="00F11B80" w:rsidP="00F11B80">
      <w:pPr>
        <w:rPr>
          <w:lang w:val="es-MX"/>
        </w:rPr>
      </w:pPr>
      <w:r w:rsidRPr="00F11B80">
        <w:rPr>
          <w:lang w:val="es-MX"/>
        </w:rPr>
        <w:t>Los acuerdos de equipo deben anticipar usos permitidos. Se define qué datos pueden introducirse, qué herramientas están aprobadas, cómo se declara y quién verifica. También se establecen procedimientos ante errores, cambios de autoría o desacuerdos. Las decisiones se documentan en el plan del proyecto y se revisan. Esta claridad evita que cada integrante adopte prácticas incompatibles y protege responsabilidades compartidas. Los líderes no deben imponer una herramienta sin formación ni evaluación. La integridad es una propiedad de la organización del trabajo, no solo de la conducta individual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 UNESCO, 2021).</w:t>
      </w:r>
    </w:p>
    <w:p w14:paraId="6DDF6DDD" w14:textId="155AE44F" w:rsidR="00F11B80" w:rsidRPr="00F11B80" w:rsidRDefault="00F11B80" w:rsidP="00F11B80">
      <w:pPr>
        <w:rPr>
          <w:lang w:val="es-MX"/>
        </w:rPr>
      </w:pPr>
      <w:r w:rsidRPr="00F11B80">
        <w:rPr>
          <w:b/>
          <w:bCs/>
          <w:lang w:val="es-MX"/>
        </w:rPr>
        <w:t xml:space="preserve">Tabla </w:t>
      </w:r>
      <w:r w:rsidR="00FA6F60">
        <w:rPr>
          <w:b/>
          <w:bCs/>
          <w:lang w:val="es-MX"/>
        </w:rPr>
        <w:t>4</w:t>
      </w:r>
      <w:r w:rsidRPr="00F11B80">
        <w:rPr>
          <w:b/>
          <w:bCs/>
          <w:lang w:val="es-MX"/>
        </w:rPr>
        <w:t>.4. Registro mínimo de transparencia sobre el uso de IA</w:t>
      </w:r>
    </w:p>
    <w:tbl>
      <w:tblPr>
        <w:tblStyle w:val="Tablanormal2"/>
        <w:tblW w:w="8505" w:type="dxa"/>
        <w:tblLook w:val="04A0" w:firstRow="1" w:lastRow="0" w:firstColumn="1" w:lastColumn="0" w:noHBand="0" w:noVBand="1"/>
      </w:tblPr>
      <w:tblGrid>
        <w:gridCol w:w="2835"/>
        <w:gridCol w:w="2835"/>
        <w:gridCol w:w="2835"/>
      </w:tblGrid>
      <w:tr w:rsidR="00F11B80" w:rsidRPr="00F11B80" w14:paraId="5F8C7987" w14:textId="77777777" w:rsidTr="003E1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2F869C5D" w14:textId="77777777" w:rsidR="00F11B80" w:rsidRPr="003E1CE6" w:rsidRDefault="00F11B80" w:rsidP="003E1CE6">
            <w:pPr>
              <w:spacing w:before="0" w:after="0" w:line="240" w:lineRule="auto"/>
              <w:rPr>
                <w:sz w:val="20"/>
                <w:szCs w:val="20"/>
                <w:lang w:val="es-MX"/>
              </w:rPr>
            </w:pPr>
            <w:r w:rsidRPr="003E1CE6">
              <w:rPr>
                <w:sz w:val="20"/>
                <w:szCs w:val="20"/>
                <w:lang w:val="es-MX"/>
              </w:rPr>
              <w:t>Elemento</w:t>
            </w:r>
          </w:p>
        </w:tc>
        <w:tc>
          <w:tcPr>
            <w:tcW w:w="2835" w:type="dxa"/>
            <w:vAlign w:val="center"/>
            <w:hideMark/>
          </w:tcPr>
          <w:p w14:paraId="5A2976F9" w14:textId="77777777" w:rsidR="00F11B80" w:rsidRPr="003E1CE6" w:rsidRDefault="00F11B80" w:rsidP="003E1CE6">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Contenido que debe declararse</w:t>
            </w:r>
          </w:p>
        </w:tc>
        <w:tc>
          <w:tcPr>
            <w:tcW w:w="2835" w:type="dxa"/>
            <w:vAlign w:val="center"/>
            <w:hideMark/>
          </w:tcPr>
          <w:p w14:paraId="03C60A79" w14:textId="77777777" w:rsidR="00F11B80" w:rsidRPr="003E1CE6" w:rsidRDefault="00F11B80" w:rsidP="003E1CE6">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Finalidad</w:t>
            </w:r>
          </w:p>
        </w:tc>
      </w:tr>
      <w:tr w:rsidR="00F11B80" w:rsidRPr="00F11B80" w14:paraId="6D0707A6" w14:textId="77777777" w:rsidTr="003E1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2B1F2B60" w14:textId="77777777" w:rsidR="00F11B80" w:rsidRPr="003E1CE6" w:rsidRDefault="00F11B80" w:rsidP="003E1CE6">
            <w:pPr>
              <w:spacing w:before="0" w:after="0" w:line="240" w:lineRule="auto"/>
              <w:rPr>
                <w:sz w:val="20"/>
                <w:szCs w:val="20"/>
                <w:lang w:val="es-MX"/>
              </w:rPr>
            </w:pPr>
            <w:r w:rsidRPr="003E1CE6">
              <w:rPr>
                <w:sz w:val="20"/>
                <w:szCs w:val="20"/>
                <w:lang w:val="es-MX"/>
              </w:rPr>
              <w:t>Herramienta</w:t>
            </w:r>
          </w:p>
        </w:tc>
        <w:tc>
          <w:tcPr>
            <w:tcW w:w="2835" w:type="dxa"/>
            <w:vAlign w:val="center"/>
            <w:hideMark/>
          </w:tcPr>
          <w:p w14:paraId="65CFDAF6"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Nombre, versión o fecha de acceso</w:t>
            </w:r>
          </w:p>
        </w:tc>
        <w:tc>
          <w:tcPr>
            <w:tcW w:w="2835" w:type="dxa"/>
            <w:vAlign w:val="center"/>
            <w:hideMark/>
          </w:tcPr>
          <w:p w14:paraId="72100E71"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Identificar el sistema utilizado</w:t>
            </w:r>
          </w:p>
        </w:tc>
      </w:tr>
      <w:tr w:rsidR="00F11B80" w:rsidRPr="00F11B80" w14:paraId="1C7A65AB" w14:textId="77777777" w:rsidTr="003E1CE6">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41BD5C39" w14:textId="77777777" w:rsidR="00F11B80" w:rsidRPr="003E1CE6" w:rsidRDefault="00F11B80" w:rsidP="003E1CE6">
            <w:pPr>
              <w:spacing w:before="0" w:after="0" w:line="240" w:lineRule="auto"/>
              <w:rPr>
                <w:sz w:val="20"/>
                <w:szCs w:val="20"/>
                <w:lang w:val="es-MX"/>
              </w:rPr>
            </w:pPr>
            <w:r w:rsidRPr="003E1CE6">
              <w:rPr>
                <w:sz w:val="20"/>
                <w:szCs w:val="20"/>
                <w:lang w:val="es-MX"/>
              </w:rPr>
              <w:t>Propósito</w:t>
            </w:r>
          </w:p>
        </w:tc>
        <w:tc>
          <w:tcPr>
            <w:tcW w:w="2835" w:type="dxa"/>
            <w:vAlign w:val="center"/>
            <w:hideMark/>
          </w:tcPr>
          <w:p w14:paraId="1887C65C" w14:textId="77777777" w:rsidR="00F11B80" w:rsidRPr="003E1CE6" w:rsidRDefault="00F11B80" w:rsidP="003E1CE6">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Tarea concreta y etapa de investigación</w:t>
            </w:r>
          </w:p>
        </w:tc>
        <w:tc>
          <w:tcPr>
            <w:tcW w:w="2835" w:type="dxa"/>
            <w:vAlign w:val="center"/>
            <w:hideMark/>
          </w:tcPr>
          <w:p w14:paraId="2BD16E1F" w14:textId="77777777" w:rsidR="00F11B80" w:rsidRPr="003E1CE6" w:rsidRDefault="00F11B80" w:rsidP="003E1CE6">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Delimitar el alcance de la asistencia</w:t>
            </w:r>
          </w:p>
        </w:tc>
      </w:tr>
      <w:tr w:rsidR="00F11B80" w:rsidRPr="00F11B80" w14:paraId="703E10E9" w14:textId="77777777" w:rsidTr="003E1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E9B12C3" w14:textId="77777777" w:rsidR="00F11B80" w:rsidRPr="003E1CE6" w:rsidRDefault="00F11B80" w:rsidP="003E1CE6">
            <w:pPr>
              <w:spacing w:before="0" w:after="0" w:line="240" w:lineRule="auto"/>
              <w:rPr>
                <w:sz w:val="20"/>
                <w:szCs w:val="20"/>
                <w:lang w:val="es-MX"/>
              </w:rPr>
            </w:pPr>
            <w:r w:rsidRPr="003E1CE6">
              <w:rPr>
                <w:sz w:val="20"/>
                <w:szCs w:val="20"/>
                <w:lang w:val="es-MX"/>
              </w:rPr>
              <w:t>Entradas</w:t>
            </w:r>
          </w:p>
        </w:tc>
        <w:tc>
          <w:tcPr>
            <w:tcW w:w="2835" w:type="dxa"/>
            <w:vAlign w:val="center"/>
            <w:hideMark/>
          </w:tcPr>
          <w:p w14:paraId="3E2B7AD0"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Tipo de datos o instrucciones relevantes, sin exponer información protegida</w:t>
            </w:r>
          </w:p>
        </w:tc>
        <w:tc>
          <w:tcPr>
            <w:tcW w:w="2835" w:type="dxa"/>
            <w:vAlign w:val="center"/>
            <w:hideMark/>
          </w:tcPr>
          <w:p w14:paraId="25134B57"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Evaluar riesgos y reproducibilidad</w:t>
            </w:r>
          </w:p>
        </w:tc>
      </w:tr>
      <w:tr w:rsidR="00F11B80" w:rsidRPr="00F11B80" w14:paraId="6B256F92" w14:textId="77777777" w:rsidTr="003E1CE6">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81B9F5A" w14:textId="77777777" w:rsidR="00F11B80" w:rsidRPr="003E1CE6" w:rsidRDefault="00F11B80" w:rsidP="003E1CE6">
            <w:pPr>
              <w:spacing w:before="0" w:after="0" w:line="240" w:lineRule="auto"/>
              <w:rPr>
                <w:sz w:val="20"/>
                <w:szCs w:val="20"/>
                <w:lang w:val="es-MX"/>
              </w:rPr>
            </w:pPr>
            <w:r w:rsidRPr="003E1CE6">
              <w:rPr>
                <w:sz w:val="20"/>
                <w:szCs w:val="20"/>
                <w:lang w:val="es-MX"/>
              </w:rPr>
              <w:t>Verificación</w:t>
            </w:r>
          </w:p>
        </w:tc>
        <w:tc>
          <w:tcPr>
            <w:tcW w:w="2835" w:type="dxa"/>
            <w:vAlign w:val="center"/>
            <w:hideMark/>
          </w:tcPr>
          <w:p w14:paraId="76BCF7F7" w14:textId="77777777" w:rsidR="00F11B80" w:rsidRPr="003E1CE6" w:rsidRDefault="00F11B80" w:rsidP="003E1CE6">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Pruebas, contrastes y modificaciones humanas</w:t>
            </w:r>
          </w:p>
        </w:tc>
        <w:tc>
          <w:tcPr>
            <w:tcW w:w="2835" w:type="dxa"/>
            <w:vAlign w:val="center"/>
            <w:hideMark/>
          </w:tcPr>
          <w:p w14:paraId="4A81A861" w14:textId="77777777" w:rsidR="00F11B80" w:rsidRPr="003E1CE6" w:rsidRDefault="00F11B80" w:rsidP="003E1CE6">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3E1CE6">
              <w:rPr>
                <w:sz w:val="20"/>
                <w:szCs w:val="20"/>
                <w:lang w:val="es-MX"/>
              </w:rPr>
              <w:t>Sustentar la confiabilidad del resultado</w:t>
            </w:r>
          </w:p>
        </w:tc>
      </w:tr>
      <w:tr w:rsidR="00F11B80" w:rsidRPr="00F11B80" w14:paraId="5EB513F2" w14:textId="77777777" w:rsidTr="003E1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636282E" w14:textId="77777777" w:rsidR="00F11B80" w:rsidRPr="003E1CE6" w:rsidRDefault="00F11B80" w:rsidP="003E1CE6">
            <w:pPr>
              <w:spacing w:before="0" w:after="0" w:line="240" w:lineRule="auto"/>
              <w:rPr>
                <w:sz w:val="20"/>
                <w:szCs w:val="20"/>
                <w:lang w:val="es-MX"/>
              </w:rPr>
            </w:pPr>
            <w:r w:rsidRPr="003E1CE6">
              <w:rPr>
                <w:sz w:val="20"/>
                <w:szCs w:val="20"/>
                <w:lang w:val="es-MX"/>
              </w:rPr>
              <w:t>Responsabilidad</w:t>
            </w:r>
          </w:p>
        </w:tc>
        <w:tc>
          <w:tcPr>
            <w:tcW w:w="2835" w:type="dxa"/>
            <w:vAlign w:val="center"/>
            <w:hideMark/>
          </w:tcPr>
          <w:p w14:paraId="36B0352B"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Autor que revisó y aprobó el producto</w:t>
            </w:r>
          </w:p>
        </w:tc>
        <w:tc>
          <w:tcPr>
            <w:tcW w:w="2835" w:type="dxa"/>
            <w:vAlign w:val="center"/>
            <w:hideMark/>
          </w:tcPr>
          <w:p w14:paraId="20F47EE6" w14:textId="77777777" w:rsidR="00F11B80" w:rsidRPr="003E1CE6" w:rsidRDefault="00F11B80" w:rsidP="003E1CE6">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3E1CE6">
              <w:rPr>
                <w:sz w:val="20"/>
                <w:szCs w:val="20"/>
                <w:lang w:val="es-MX"/>
              </w:rPr>
              <w:t>Mantener atribución y rendición de cuentas</w:t>
            </w:r>
          </w:p>
        </w:tc>
      </w:tr>
    </w:tbl>
    <w:p w14:paraId="63CB154F" w14:textId="77777777" w:rsidR="00F11B80" w:rsidRPr="00F11B80" w:rsidRDefault="00F11B80" w:rsidP="00F11B80">
      <w:pPr>
        <w:rPr>
          <w:lang w:val="es-MX"/>
        </w:rPr>
      </w:pPr>
      <w:r w:rsidRPr="00F11B80">
        <w:rPr>
          <w:i/>
          <w:iCs/>
          <w:lang w:val="es-MX"/>
        </w:rPr>
        <w:t>Fuente: elaboración propia a partir de las referencias citadas en el apartado.</w:t>
      </w:r>
    </w:p>
    <w:p w14:paraId="00FD7535" w14:textId="4DC455C2" w:rsidR="00880C23" w:rsidRDefault="00F11B80" w:rsidP="00F11B80">
      <w:pPr>
        <w:rPr>
          <w:lang w:val="es-MX"/>
        </w:rPr>
      </w:pPr>
      <w:r w:rsidRPr="00F11B80">
        <w:rPr>
          <w:lang w:val="es-MX"/>
        </w:rPr>
        <w:t xml:space="preserve">La supervisión de estudiantes investigadores debe combinar autonomía y acompañamiento. El director revisa preguntas, fuentes, decisiones analíticas y declaraciones, sin asumir automáticamente que toda asistencia es indebida. Las reuniones pueden utilizar bitácoras y versiones para discutir razonamiento. También se acuerdan límites para datos y manuscritos. Si una herramienta introduce un error, se analiza como oportunidad formativa y se corrige antes de difundir. La evaluación del trabajo considera comprensión y responsabilidad, no solo la calidad aparente del producto. Esta relación prepara investigadores capaces de usar tecnología con criterio y de responder por sus decisiones (Miao et al., 2024; </w:t>
      </w:r>
      <w:proofErr w:type="spellStart"/>
      <w:r w:rsidRPr="00F11B80">
        <w:rPr>
          <w:lang w:val="es-MX"/>
        </w:rPr>
        <w:t>National</w:t>
      </w:r>
      <w:proofErr w:type="spellEnd"/>
      <w:r w:rsidRPr="00F11B80">
        <w:rPr>
          <w:lang w:val="es-MX"/>
        </w:rPr>
        <w:t xml:space="preserve"> </w:t>
      </w:r>
      <w:proofErr w:type="spellStart"/>
      <w:r w:rsidRPr="00F11B80">
        <w:rPr>
          <w:lang w:val="es-MX"/>
        </w:rPr>
        <w:t>Academies</w:t>
      </w:r>
      <w:proofErr w:type="spellEnd"/>
      <w:r w:rsidRPr="00F11B80">
        <w:rPr>
          <w:lang w:val="es-MX"/>
        </w:rPr>
        <w:t xml:space="preserve"> </w:t>
      </w:r>
      <w:proofErr w:type="spellStart"/>
      <w:r w:rsidRPr="00F11B80">
        <w:rPr>
          <w:lang w:val="es-MX"/>
        </w:rPr>
        <w:t>of</w:t>
      </w:r>
      <w:proofErr w:type="spellEnd"/>
      <w:r w:rsidRPr="00F11B80">
        <w:rPr>
          <w:lang w:val="es-MX"/>
        </w:rPr>
        <w:t xml:space="preserve"> </w:t>
      </w:r>
      <w:proofErr w:type="spellStart"/>
      <w:r w:rsidRPr="00F11B80">
        <w:rPr>
          <w:lang w:val="es-MX"/>
        </w:rPr>
        <w:t>Sciences</w:t>
      </w:r>
      <w:proofErr w:type="spellEnd"/>
      <w:r w:rsidRPr="00F11B80">
        <w:rPr>
          <w:lang w:val="es-MX"/>
        </w:rPr>
        <w:t xml:space="preserve">, </w:t>
      </w:r>
      <w:proofErr w:type="spellStart"/>
      <w:r w:rsidRPr="00F11B80">
        <w:rPr>
          <w:lang w:val="es-MX"/>
        </w:rPr>
        <w:t>Engineering</w:t>
      </w:r>
      <w:proofErr w:type="spellEnd"/>
      <w:r w:rsidRPr="00F11B80">
        <w:rPr>
          <w:lang w:val="es-MX"/>
        </w:rPr>
        <w:t>, and Medicine, 2017).</w:t>
      </w:r>
    </w:p>
    <w:p w14:paraId="40999AC7" w14:textId="642C2E00" w:rsidR="000A3477" w:rsidRDefault="00EB0AD7" w:rsidP="00F11B80">
      <w:pPr>
        <w:rPr>
          <w:lang w:val="es-MX"/>
        </w:rPr>
      </w:pPr>
      <w:r>
        <w:rPr>
          <w:noProof/>
          <w:lang w:val="es-MX"/>
        </w:rPr>
        <w:lastRenderedPageBreak/>
        <w:drawing>
          <wp:inline distT="0" distB="0" distL="0" distR="0" wp14:anchorId="2F9FC64D" wp14:editId="728D8D1A">
            <wp:extent cx="5391150" cy="3600450"/>
            <wp:effectExtent l="0" t="0" r="0" b="0"/>
            <wp:docPr id="170810468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14:paraId="001ACE25" w14:textId="77777777" w:rsidR="00880C23" w:rsidRDefault="00880C23">
      <w:pPr>
        <w:spacing w:before="0" w:after="160" w:line="278" w:lineRule="auto"/>
        <w:jc w:val="left"/>
        <w:rPr>
          <w:lang w:val="es-MX"/>
        </w:rPr>
      </w:pPr>
      <w:r>
        <w:rPr>
          <w:lang w:val="es-MX"/>
        </w:rPr>
        <w:br w:type="page"/>
      </w:r>
    </w:p>
    <w:p w14:paraId="73DD0604" w14:textId="7986476C" w:rsidR="00DC6956" w:rsidRDefault="00DC6956">
      <w:pPr>
        <w:spacing w:before="0" w:after="160" w:line="278" w:lineRule="auto"/>
        <w:jc w:val="left"/>
        <w:rPr>
          <w:lang w:val="es-MX"/>
        </w:rPr>
      </w:pPr>
    </w:p>
    <w:p w14:paraId="6B407DC2" w14:textId="76120193" w:rsidR="00DC6956" w:rsidRDefault="00DC6956" w:rsidP="00DC6956">
      <w:pPr>
        <w:pStyle w:val="Ttulo1"/>
        <w:rPr>
          <w:bCs/>
        </w:rPr>
      </w:pPr>
      <w:bookmarkStart w:id="96" w:name="_Toc239440953"/>
      <w:r w:rsidRPr="00DC6956">
        <w:t xml:space="preserve">Capítulo </w:t>
      </w:r>
      <w:r w:rsidR="00C645D4">
        <w:t>5</w:t>
      </w:r>
      <w:r>
        <w:t xml:space="preserve"> </w:t>
      </w:r>
      <w:r w:rsidRPr="00DC6956">
        <w:rPr>
          <w:bCs/>
        </w:rPr>
        <w:t>Riesgos, ética e integridad académica</w:t>
      </w:r>
      <w:bookmarkEnd w:id="96"/>
    </w:p>
    <w:p w14:paraId="037FEAA7" w14:textId="77777777" w:rsidR="00DC6956" w:rsidRDefault="00DC6956">
      <w:pPr>
        <w:spacing w:before="0" w:after="160" w:line="278" w:lineRule="auto"/>
        <w:jc w:val="left"/>
        <w:rPr>
          <w:rFonts w:eastAsiaTheme="majorEastAsia" w:cs="Tahoma"/>
          <w:b/>
          <w:bCs/>
          <w:color w:val="262626"/>
          <w:sz w:val="28"/>
          <w:szCs w:val="40"/>
          <w:lang w:val="es-MX"/>
        </w:rPr>
      </w:pPr>
      <w:r>
        <w:rPr>
          <w:bCs/>
        </w:rPr>
        <w:br w:type="page"/>
      </w:r>
    </w:p>
    <w:p w14:paraId="47D28B2E" w14:textId="77777777" w:rsidR="00143D00" w:rsidRPr="00143D00" w:rsidRDefault="00143D00" w:rsidP="00143D00">
      <w:pPr>
        <w:jc w:val="center"/>
        <w:rPr>
          <w:lang w:val="es-MX"/>
        </w:rPr>
      </w:pPr>
      <w:r w:rsidRPr="00143D00">
        <w:rPr>
          <w:b/>
          <w:bCs/>
          <w:sz w:val="28"/>
          <w:szCs w:val="28"/>
          <w:lang w:val="es-MX"/>
        </w:rPr>
        <w:lastRenderedPageBreak/>
        <w:t>Introducción</w:t>
      </w:r>
    </w:p>
    <w:p w14:paraId="73324172" w14:textId="77777777" w:rsidR="00143D00" w:rsidRPr="00143D00" w:rsidRDefault="00143D00" w:rsidP="00143D00">
      <w:pPr>
        <w:rPr>
          <w:lang w:val="es-MX"/>
        </w:rPr>
      </w:pPr>
      <w:r w:rsidRPr="00143D00">
        <w:rPr>
          <w:lang w:val="es-MX"/>
        </w:rPr>
        <w:t>El capítulo anterior mostró que la gestión universitaria basada en datos no es una operación neutral. Automatizar trámites, analizar trayectorias o recomendar intervenciones modifica la distribución de oportunidades, la capacidad de decisión y la relación entre la institución y su comunidad. Por esta razón, la eficiencia solo puede considerarse valiosa cuando se acompaña de finalidad legítima, calidad de datos, transparencia, supervisión y vías de reclamación. El presente capítulo profundiza esa dimensión normativa. Examina los riesgos que surgen cuando la inteligencia artificial interviene en actividades académicas y administrativas, y propone criterios para gobernarlos sin renunciar a la innovación responsable (OECD, 2023; Tabassi, 2023).</w:t>
      </w:r>
    </w:p>
    <w:p w14:paraId="6A05952B" w14:textId="77777777" w:rsidR="00143D00" w:rsidRPr="00143D00" w:rsidRDefault="00143D00" w:rsidP="00143D00">
      <w:pPr>
        <w:rPr>
          <w:lang w:val="es-MX"/>
        </w:rPr>
      </w:pPr>
      <w:r w:rsidRPr="00143D00">
        <w:rPr>
          <w:lang w:val="es-MX"/>
        </w:rPr>
        <w:t xml:space="preserve">La ética de la inteligencia artificial no se reduce a una lista de principios abstractos. Se concreta en decisiones sobre qué herramientas se permiten, qué datos se recopilan, qué tareas deben permanecer bajo control humano, cómo se comunica la incertidumbre y quién responde cuando ocurre un daño. La integridad académica tampoco equivale únicamente a detectar plagio. Comprende honestidad, confianza, justicia, respeto, responsabilidad y valentía, valores que orientan la producción, evaluación y comunicación del conocimiento. En este marco, una universidad debe distinguir entre asistencia legítima, colaboración declarada, sustitución indebida del trabajo y fraude deliberado (International Center </w:t>
      </w:r>
      <w:proofErr w:type="spellStart"/>
      <w:r w:rsidRPr="00143D00">
        <w:rPr>
          <w:lang w:val="es-MX"/>
        </w:rPr>
        <w:t>for</w:t>
      </w:r>
      <w:proofErr w:type="spellEnd"/>
      <w:r w:rsidRPr="00143D00">
        <w:rPr>
          <w:lang w:val="es-MX"/>
        </w:rPr>
        <w:t xml:space="preserve"> </w:t>
      </w:r>
      <w:proofErr w:type="spellStart"/>
      <w:r w:rsidRPr="00143D00">
        <w:rPr>
          <w:lang w:val="es-MX"/>
        </w:rPr>
        <w:t>Academic</w:t>
      </w:r>
      <w:proofErr w:type="spellEnd"/>
      <w:r w:rsidRPr="00143D00">
        <w:rPr>
          <w:lang w:val="es-MX"/>
        </w:rPr>
        <w:t xml:space="preserve"> Integrity, 2021; UNESCO, 2021).</w:t>
      </w:r>
    </w:p>
    <w:p w14:paraId="73387C0B" w14:textId="77777777" w:rsidR="00143D00" w:rsidRPr="00143D00" w:rsidRDefault="00143D00" w:rsidP="00143D00">
      <w:pPr>
        <w:rPr>
          <w:lang w:val="es-MX"/>
        </w:rPr>
      </w:pPr>
      <w:r w:rsidRPr="00143D00">
        <w:rPr>
          <w:lang w:val="es-MX"/>
        </w:rPr>
        <w:t xml:space="preserve">La rápida difusión de sistemas generativos ha vuelto </w:t>
      </w:r>
      <w:proofErr w:type="gramStart"/>
      <w:r w:rsidRPr="00143D00">
        <w:rPr>
          <w:lang w:val="es-MX"/>
        </w:rPr>
        <w:t>insuficientes</w:t>
      </w:r>
      <w:proofErr w:type="gramEnd"/>
      <w:r w:rsidRPr="00143D00">
        <w:rPr>
          <w:lang w:val="es-MX"/>
        </w:rPr>
        <w:t xml:space="preserve"> las respuestas basadas solo en prohibición o vigilancia. Estas tecnologías pueden apoyar comprensión, accesibilidad y creatividad, pero también producir textos plausibles sin fundamento, facilitar ocultamiento de autoría, recopilar información sensible y reproducir desigualdades. El riesgo depende del contexto, la finalidad, la población, el diseño de la actividad y las salvaguardas. Una misma herramienta puede ser adecuada para explorar ideas y resultar inaceptable para decidir una sanción. Por ello, la gobernanza debe ser proporcional, específica y revisable, con participación de estudiantes, docentes, personal administrativo y especialistas (Miao &amp; Holmes, 2023; OECD, 2026).</w:t>
      </w:r>
    </w:p>
    <w:p w14:paraId="58FBA1A3" w14:textId="77777777" w:rsidR="00143D00" w:rsidRPr="00143D00" w:rsidRDefault="00143D00" w:rsidP="00143D00">
      <w:pPr>
        <w:rPr>
          <w:lang w:val="es-MX"/>
        </w:rPr>
      </w:pPr>
      <w:r w:rsidRPr="00143D00">
        <w:rPr>
          <w:lang w:val="es-MX"/>
        </w:rPr>
        <w:t>El capítulo se organiza en cuatro apartados. El primero analiza plagio, autoría, fraude y dependencia tecnológica. El segundo estudia privacidad, protección de datos y seguridad a lo largo del ciclo de vida. El tercero examina sesgos y discriminación algorítmica, desde la construcción de categorías hasta las consecuencias de una decisión. El cuarto propone políticas institucionales de uso responsable, evaluación de impacto, contratación, formación y rendición de cuentas. La síntesis prepara el capítulo 9, dedicado a inclusión, accesibilidad y brecha digital, porque la ética se verifica finalmente en la posibilidad real de que todas las personas participen y aprendan en condiciones justas (Baker &amp; Hawn, 2022; Miao &amp; Holmes, 2023).</w:t>
      </w:r>
    </w:p>
    <w:p w14:paraId="4874DCEE" w14:textId="57FC8582" w:rsidR="00143D00" w:rsidRPr="00143D00" w:rsidRDefault="00143D00" w:rsidP="00143D00">
      <w:pPr>
        <w:pStyle w:val="Ttulo2"/>
        <w:rPr>
          <w:lang w:val="es-MX"/>
        </w:rPr>
      </w:pPr>
      <w:bookmarkStart w:id="97" w:name="_Toc239440954"/>
      <w:r w:rsidRPr="00143D00">
        <w:rPr>
          <w:lang w:val="es-MX"/>
        </w:rPr>
        <w:lastRenderedPageBreak/>
        <w:t>Plagio y dependencia tecnológica</w:t>
      </w:r>
      <w:bookmarkEnd w:id="97"/>
    </w:p>
    <w:p w14:paraId="464C73D2" w14:textId="1C869D2C" w:rsidR="00143D00" w:rsidRPr="00143D00" w:rsidRDefault="00143D00" w:rsidP="00AF4905">
      <w:pPr>
        <w:pStyle w:val="Ttulo3"/>
        <w:rPr>
          <w:lang w:val="es-MX"/>
        </w:rPr>
      </w:pPr>
      <w:bookmarkStart w:id="98" w:name="_Toc239440955"/>
      <w:r w:rsidRPr="00143D00">
        <w:rPr>
          <w:lang w:val="es-MX"/>
        </w:rPr>
        <w:t>Integridad, plagio, autoría y responsabilidad académica</w:t>
      </w:r>
      <w:bookmarkEnd w:id="98"/>
    </w:p>
    <w:p w14:paraId="7E042590" w14:textId="77777777" w:rsidR="00143D00" w:rsidRPr="00143D00" w:rsidRDefault="00143D00" w:rsidP="00143D00">
      <w:pPr>
        <w:rPr>
          <w:lang w:val="es-MX"/>
        </w:rPr>
      </w:pPr>
      <w:r w:rsidRPr="00143D00">
        <w:rPr>
          <w:lang w:val="es-MX"/>
        </w:rPr>
        <w:t>La integridad académica protege la confianza en los procesos mediante los cuales una comunidad aprende, investiga y certifica capacidades. Su alcance incluye tareas, exámenes, prácticas, proyectos, publicaciones y registros de evaluación. El plagio constituye una forma de apropiación o presentación engañosa, pero no agota el problema. También existen fabricación de datos, falsificación, suplantación, colusión no autorizada, compra de trabajos y ocultamiento de contribuciones. La inteligencia artificial puede intervenir en cualquiera de estas conductas, aunque su mera utilización no demuestra deshonestidad. La valoración necesita reglas previas, evidencia contextual y debido proceso (</w:t>
      </w:r>
      <w:proofErr w:type="spellStart"/>
      <w:r w:rsidRPr="00143D00">
        <w:rPr>
          <w:lang w:val="es-MX"/>
        </w:rPr>
        <w:t>Bretag</w:t>
      </w:r>
      <w:proofErr w:type="spellEnd"/>
      <w:r w:rsidRPr="00143D00">
        <w:rPr>
          <w:lang w:val="es-MX"/>
        </w:rPr>
        <w:t xml:space="preserve">, 2016; International Center </w:t>
      </w:r>
      <w:proofErr w:type="spellStart"/>
      <w:r w:rsidRPr="00143D00">
        <w:rPr>
          <w:lang w:val="es-MX"/>
        </w:rPr>
        <w:t>for</w:t>
      </w:r>
      <w:proofErr w:type="spellEnd"/>
      <w:r w:rsidRPr="00143D00">
        <w:rPr>
          <w:lang w:val="es-MX"/>
        </w:rPr>
        <w:t xml:space="preserve"> </w:t>
      </w:r>
      <w:proofErr w:type="spellStart"/>
      <w:r w:rsidRPr="00143D00">
        <w:rPr>
          <w:lang w:val="es-MX"/>
        </w:rPr>
        <w:t>Academic</w:t>
      </w:r>
      <w:proofErr w:type="spellEnd"/>
      <w:r w:rsidRPr="00143D00">
        <w:rPr>
          <w:lang w:val="es-MX"/>
        </w:rPr>
        <w:t xml:space="preserve"> Integrity, 2021).</w:t>
      </w:r>
    </w:p>
    <w:p w14:paraId="00220332" w14:textId="77777777" w:rsidR="00143D00" w:rsidRPr="00143D00" w:rsidRDefault="00143D00" w:rsidP="00143D00">
      <w:pPr>
        <w:rPr>
          <w:lang w:val="es-MX"/>
        </w:rPr>
      </w:pPr>
      <w:r w:rsidRPr="00143D00">
        <w:rPr>
          <w:lang w:val="es-MX"/>
        </w:rPr>
        <w:t>El plagio supone presentar palabras, ideas, datos, imágenes o estructuras ajenas como propias sin reconocimiento suficiente. Con sistemas generativos aparece una dificultad adicional, porque el resultado puede no copiar literalmente una fuente y, aun así, sustituir el trabajo intelectual requerido. La pregunta relevante no es solo si existe coincidencia textual, sino qué aprendizaje debía demostrar la persona, qué asistencia estaba autorizada y cómo fue declarada. Una política centrada únicamente en similitud puede dejar sin respuesta la generación automática y, al mismo tiempo, sospechar injustamente de coincidencias legítimas (Cotton et al., 2024; Miao &amp; Holmes, 2023).</w:t>
      </w:r>
    </w:p>
    <w:p w14:paraId="33E14EA3" w14:textId="77777777" w:rsidR="00143D00" w:rsidRPr="00143D00" w:rsidRDefault="00143D00" w:rsidP="00143D00">
      <w:pPr>
        <w:rPr>
          <w:lang w:val="es-MX"/>
        </w:rPr>
      </w:pPr>
      <w:r w:rsidRPr="00143D00">
        <w:rPr>
          <w:lang w:val="es-MX"/>
        </w:rPr>
        <w:t>La autoría académica implica responsabilidad por el contenido. Quien firma una tarea o publicación afirma que puede explicar sus decisiones, sostener sus fuentes y responder por errores. Un sistema de inteligencia artificial no posee responsabilidad moral ni institucional y, por tanto, no debe figurar como autor. Puede reconocerse como herramienta cuando su participación fue sustantiva, de acuerdo con las normas de la asignatura, la revista o la institución. La declaración debe indicar la herramienta, la finalidad y el alcance de la intervención, sin convertir el registro de cada corrección menor en una carga desproporcionada (Miao &amp; Holmes, 2023; UNESCO, 2021).</w:t>
      </w:r>
    </w:p>
    <w:p w14:paraId="659282E7" w14:textId="77777777" w:rsidR="00143D00" w:rsidRPr="00143D00" w:rsidRDefault="00143D00" w:rsidP="00143D00">
      <w:pPr>
        <w:rPr>
          <w:lang w:val="es-MX"/>
        </w:rPr>
      </w:pPr>
      <w:r w:rsidRPr="00143D00">
        <w:rPr>
          <w:lang w:val="es-MX"/>
        </w:rPr>
        <w:t>La asistencia permitida debe definirse en relación con el propósito de la actividad. En una tarea de escritura, generar el texto completo puede anular la evidencia buscada, mientras que solicitar ejemplos para discutir errores puede fortalecerla. En programación, recibir una sugerencia puede ser aceptable si el estudiante comprende, prueba y documenta el código. En traducción, la herramienta puede facilitar acceso, pero ocultar que se evaluaba dominio lingüístico. Las reglas necesitan ejemplos por disciplina y nivel, porque una autorización general produce ambigüedad y una prohibición absoluta desconoce usos pedagógicos legítimos (Cotton et al., 2024; OECD, 2026).</w:t>
      </w:r>
    </w:p>
    <w:p w14:paraId="40B4CF47" w14:textId="39094484" w:rsidR="00143D00" w:rsidRPr="00143D00" w:rsidRDefault="00143D00" w:rsidP="00AF4905">
      <w:pPr>
        <w:pStyle w:val="Ttulo3"/>
        <w:rPr>
          <w:lang w:val="es-MX"/>
        </w:rPr>
      </w:pPr>
      <w:bookmarkStart w:id="99" w:name="_Toc239440956"/>
      <w:r w:rsidRPr="00143D00">
        <w:rPr>
          <w:lang w:val="es-MX"/>
        </w:rPr>
        <w:lastRenderedPageBreak/>
        <w:t>Clasificación de usos y diseño preventivo de la evaluación</w:t>
      </w:r>
      <w:bookmarkEnd w:id="99"/>
    </w:p>
    <w:p w14:paraId="7380BE31" w14:textId="77777777" w:rsidR="00143D00" w:rsidRPr="00143D00" w:rsidRDefault="00143D00" w:rsidP="00143D00">
      <w:pPr>
        <w:rPr>
          <w:lang w:val="es-MX"/>
        </w:rPr>
      </w:pPr>
      <w:r w:rsidRPr="00143D00">
        <w:rPr>
          <w:lang w:val="es-MX"/>
        </w:rPr>
        <w:t>Una taxonomía institucional puede distinguir usos prohibidos, restringidos, permitidos con declaración y permitidos sin declaración. Son prohibidos aquellos que suplantan a una persona, fabrican evidencia o vulneran datos. Son restringidos los que dependen del objetivo de aprendizaje, como redactar, traducir o resolver. Son permitidos con declaración los apoyos que influyen de manera sustantiva en ideas, análisis o forma. Los usos rutinarios de accesibilidad pueden no requerir exposición pública, especialmente cuando revelarla afectaría privacidad. La clasificación debe revisarse y permitir ajustes razonables (Miao &amp; Holmes, 2023; CAST, 2024).</w:t>
      </w:r>
    </w:p>
    <w:p w14:paraId="2D0D511E" w14:textId="1836478F" w:rsidR="00143D00" w:rsidRPr="00143D00" w:rsidRDefault="00143D00" w:rsidP="00143D00">
      <w:pPr>
        <w:rPr>
          <w:lang w:val="es-MX"/>
        </w:rPr>
      </w:pPr>
      <w:r w:rsidRPr="00143D00">
        <w:rPr>
          <w:b/>
          <w:bCs/>
          <w:lang w:val="es-MX"/>
        </w:rPr>
        <w:t xml:space="preserve">Tabla </w:t>
      </w:r>
      <w:r w:rsidR="00FA6F60">
        <w:rPr>
          <w:b/>
          <w:bCs/>
          <w:lang w:val="es-MX"/>
        </w:rPr>
        <w:t>5</w:t>
      </w:r>
      <w:r w:rsidRPr="00143D00">
        <w:rPr>
          <w:b/>
          <w:bCs/>
          <w:lang w:val="es-MX"/>
        </w:rPr>
        <w:t>.1. Clasificación orientativa de usos académicos de IA</w:t>
      </w:r>
    </w:p>
    <w:tbl>
      <w:tblPr>
        <w:tblStyle w:val="Tablanormal2"/>
        <w:tblW w:w="8392" w:type="dxa"/>
        <w:tblLook w:val="04A0" w:firstRow="1" w:lastRow="0" w:firstColumn="1" w:lastColumn="0" w:noHBand="0" w:noVBand="1"/>
      </w:tblPr>
      <w:tblGrid>
        <w:gridCol w:w="2098"/>
        <w:gridCol w:w="2098"/>
        <w:gridCol w:w="2098"/>
        <w:gridCol w:w="2098"/>
      </w:tblGrid>
      <w:tr w:rsidR="00143D00" w:rsidRPr="00143D00" w14:paraId="47EB6F2C" w14:textId="77777777" w:rsidTr="00AF49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2EDB45A" w14:textId="77777777" w:rsidR="00143D00" w:rsidRPr="00AF4905" w:rsidRDefault="00143D00" w:rsidP="00AF4905">
            <w:pPr>
              <w:spacing w:before="0" w:after="0" w:line="240" w:lineRule="auto"/>
              <w:jc w:val="center"/>
              <w:rPr>
                <w:sz w:val="20"/>
                <w:szCs w:val="20"/>
                <w:lang w:val="es-MX"/>
              </w:rPr>
            </w:pPr>
            <w:r w:rsidRPr="00AF4905">
              <w:rPr>
                <w:sz w:val="20"/>
                <w:szCs w:val="20"/>
                <w:lang w:val="es-MX"/>
              </w:rPr>
              <w:t>Categoría</w:t>
            </w:r>
          </w:p>
        </w:tc>
        <w:tc>
          <w:tcPr>
            <w:tcW w:w="2098" w:type="dxa"/>
            <w:vAlign w:val="center"/>
            <w:hideMark/>
          </w:tcPr>
          <w:p w14:paraId="242CD356"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Descripción</w:t>
            </w:r>
          </w:p>
        </w:tc>
        <w:tc>
          <w:tcPr>
            <w:tcW w:w="2098" w:type="dxa"/>
            <w:vAlign w:val="center"/>
            <w:hideMark/>
          </w:tcPr>
          <w:p w14:paraId="66B460C8"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Ejemplo</w:t>
            </w:r>
          </w:p>
        </w:tc>
        <w:tc>
          <w:tcPr>
            <w:tcW w:w="2098" w:type="dxa"/>
            <w:vAlign w:val="center"/>
            <w:hideMark/>
          </w:tcPr>
          <w:p w14:paraId="30F1D0FE"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Respuesta institucional</w:t>
            </w:r>
          </w:p>
        </w:tc>
      </w:tr>
      <w:tr w:rsidR="00143D00" w:rsidRPr="00143D00" w14:paraId="7272E540" w14:textId="77777777" w:rsidTr="00AF4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E14CF17" w14:textId="77777777" w:rsidR="00143D00" w:rsidRPr="00AF4905" w:rsidRDefault="00143D00" w:rsidP="00AF4905">
            <w:pPr>
              <w:spacing w:before="0" w:after="0" w:line="240" w:lineRule="auto"/>
              <w:rPr>
                <w:sz w:val="20"/>
                <w:szCs w:val="20"/>
                <w:lang w:val="es-MX"/>
              </w:rPr>
            </w:pPr>
            <w:r w:rsidRPr="00AF4905">
              <w:rPr>
                <w:sz w:val="20"/>
                <w:szCs w:val="20"/>
                <w:lang w:val="es-MX"/>
              </w:rPr>
              <w:t>Prohibido</w:t>
            </w:r>
          </w:p>
        </w:tc>
        <w:tc>
          <w:tcPr>
            <w:tcW w:w="2098" w:type="dxa"/>
            <w:vAlign w:val="center"/>
            <w:hideMark/>
          </w:tcPr>
          <w:p w14:paraId="6F59729B"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Sustituye la evidencia o vulnera derechos</w:t>
            </w:r>
          </w:p>
        </w:tc>
        <w:tc>
          <w:tcPr>
            <w:tcW w:w="2098" w:type="dxa"/>
            <w:vAlign w:val="center"/>
            <w:hideMark/>
          </w:tcPr>
          <w:p w14:paraId="558E8890"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Fabricar datos o suplantar autoría</w:t>
            </w:r>
          </w:p>
        </w:tc>
        <w:tc>
          <w:tcPr>
            <w:tcW w:w="2098" w:type="dxa"/>
            <w:vAlign w:val="center"/>
            <w:hideMark/>
          </w:tcPr>
          <w:p w14:paraId="5819D7A6"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Impedir, investigar con debido proceso y reparar</w:t>
            </w:r>
          </w:p>
        </w:tc>
      </w:tr>
      <w:tr w:rsidR="00143D00" w:rsidRPr="00143D00" w14:paraId="3B86F56C" w14:textId="77777777" w:rsidTr="00AF49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CD1C24F" w14:textId="77777777" w:rsidR="00143D00" w:rsidRPr="00AF4905" w:rsidRDefault="00143D00" w:rsidP="00AF4905">
            <w:pPr>
              <w:spacing w:before="0" w:after="0" w:line="240" w:lineRule="auto"/>
              <w:rPr>
                <w:sz w:val="20"/>
                <w:szCs w:val="20"/>
                <w:lang w:val="es-MX"/>
              </w:rPr>
            </w:pPr>
            <w:r w:rsidRPr="00AF4905">
              <w:rPr>
                <w:sz w:val="20"/>
                <w:szCs w:val="20"/>
                <w:lang w:val="es-MX"/>
              </w:rPr>
              <w:t>Restringido</w:t>
            </w:r>
          </w:p>
        </w:tc>
        <w:tc>
          <w:tcPr>
            <w:tcW w:w="2098" w:type="dxa"/>
            <w:vAlign w:val="center"/>
            <w:hideMark/>
          </w:tcPr>
          <w:p w14:paraId="5618267E"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Requiere autorización por riesgo o sensibilidad</w:t>
            </w:r>
          </w:p>
        </w:tc>
        <w:tc>
          <w:tcPr>
            <w:tcW w:w="2098" w:type="dxa"/>
            <w:vAlign w:val="center"/>
            <w:hideMark/>
          </w:tcPr>
          <w:p w14:paraId="778988C9"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Procesar expedientes o exámenes inéditos</w:t>
            </w:r>
          </w:p>
        </w:tc>
        <w:tc>
          <w:tcPr>
            <w:tcW w:w="2098" w:type="dxa"/>
            <w:vAlign w:val="center"/>
            <w:hideMark/>
          </w:tcPr>
          <w:p w14:paraId="72517F20"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Autorizar condiciones, controles y supervisión</w:t>
            </w:r>
          </w:p>
        </w:tc>
      </w:tr>
      <w:tr w:rsidR="00143D00" w:rsidRPr="00143D00" w14:paraId="228D7647" w14:textId="77777777" w:rsidTr="00AF4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3820162" w14:textId="77777777" w:rsidR="00143D00" w:rsidRPr="00AF4905" w:rsidRDefault="00143D00" w:rsidP="00AF4905">
            <w:pPr>
              <w:spacing w:before="0" w:after="0" w:line="240" w:lineRule="auto"/>
              <w:rPr>
                <w:sz w:val="20"/>
                <w:szCs w:val="20"/>
                <w:lang w:val="es-MX"/>
              </w:rPr>
            </w:pPr>
            <w:r w:rsidRPr="00AF4905">
              <w:rPr>
                <w:sz w:val="20"/>
                <w:szCs w:val="20"/>
                <w:lang w:val="es-MX"/>
              </w:rPr>
              <w:t>Permitido con declaración</w:t>
            </w:r>
          </w:p>
        </w:tc>
        <w:tc>
          <w:tcPr>
            <w:tcW w:w="2098" w:type="dxa"/>
            <w:vAlign w:val="center"/>
            <w:hideMark/>
          </w:tcPr>
          <w:p w14:paraId="6D7BDB93"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Apoya una tarea sin sustituir responsabilidad</w:t>
            </w:r>
          </w:p>
        </w:tc>
        <w:tc>
          <w:tcPr>
            <w:tcW w:w="2098" w:type="dxa"/>
            <w:vAlign w:val="center"/>
            <w:hideMark/>
          </w:tcPr>
          <w:p w14:paraId="43A3817A"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Revisar estilo o generar código verificable</w:t>
            </w:r>
          </w:p>
        </w:tc>
        <w:tc>
          <w:tcPr>
            <w:tcW w:w="2098" w:type="dxa"/>
            <w:vAlign w:val="center"/>
            <w:hideMark/>
          </w:tcPr>
          <w:p w14:paraId="72AAEE86"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Exigir transparencia y comprobación</w:t>
            </w:r>
          </w:p>
        </w:tc>
      </w:tr>
      <w:tr w:rsidR="00143D00" w:rsidRPr="00143D00" w14:paraId="4E25A0F6" w14:textId="77777777" w:rsidTr="00AF49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7FF5557" w14:textId="77777777" w:rsidR="00143D00" w:rsidRPr="00AF4905" w:rsidRDefault="00143D00" w:rsidP="00AF4905">
            <w:pPr>
              <w:spacing w:before="0" w:after="0" w:line="240" w:lineRule="auto"/>
              <w:rPr>
                <w:sz w:val="20"/>
                <w:szCs w:val="20"/>
                <w:lang w:val="es-MX"/>
              </w:rPr>
            </w:pPr>
            <w:r w:rsidRPr="00AF4905">
              <w:rPr>
                <w:sz w:val="20"/>
                <w:szCs w:val="20"/>
                <w:lang w:val="es-MX"/>
              </w:rPr>
              <w:t>Permitido</w:t>
            </w:r>
          </w:p>
        </w:tc>
        <w:tc>
          <w:tcPr>
            <w:tcW w:w="2098" w:type="dxa"/>
            <w:vAlign w:val="center"/>
            <w:hideMark/>
          </w:tcPr>
          <w:p w14:paraId="0979B264"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Función ordinaria de bajo riesgo</w:t>
            </w:r>
          </w:p>
        </w:tc>
        <w:tc>
          <w:tcPr>
            <w:tcW w:w="2098" w:type="dxa"/>
            <w:vAlign w:val="center"/>
            <w:hideMark/>
          </w:tcPr>
          <w:p w14:paraId="1CBD5A42"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Corrección ortográfica en texto propio</w:t>
            </w:r>
          </w:p>
        </w:tc>
        <w:tc>
          <w:tcPr>
            <w:tcW w:w="2098" w:type="dxa"/>
            <w:vAlign w:val="center"/>
            <w:hideMark/>
          </w:tcPr>
          <w:p w14:paraId="273C44BC"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Informar límites y conservar responsabilidad</w:t>
            </w:r>
          </w:p>
        </w:tc>
      </w:tr>
    </w:tbl>
    <w:p w14:paraId="149CCDD8" w14:textId="77777777" w:rsidR="00143D00" w:rsidRPr="00143D00" w:rsidRDefault="00143D00" w:rsidP="00143D00">
      <w:pPr>
        <w:rPr>
          <w:lang w:val="es-MX"/>
        </w:rPr>
      </w:pPr>
      <w:r w:rsidRPr="00143D00">
        <w:rPr>
          <w:i/>
          <w:iCs/>
          <w:lang w:val="es-MX"/>
        </w:rPr>
        <w:t>Fuente: elaboración propia a partir de las referencias citadas en el apartado.</w:t>
      </w:r>
    </w:p>
    <w:p w14:paraId="5E918E17" w14:textId="77777777" w:rsidR="00143D00" w:rsidRPr="00143D00" w:rsidRDefault="00143D00" w:rsidP="00143D00">
      <w:pPr>
        <w:rPr>
          <w:lang w:val="es-MX"/>
        </w:rPr>
      </w:pPr>
      <w:r w:rsidRPr="00143D00">
        <w:rPr>
          <w:lang w:val="es-MX"/>
        </w:rPr>
        <w:t>El diseño de evaluación constituye la primera defensa de la integridad. Actividades auténticas, progresivas y vinculadas con contextos concretos hacen visible el razonamiento. Entregas parciales, bitácoras, conversaciones orales y retroalimentación permiten observar el proceso sin convertir cada estudiante en sospechoso. Pedir fuentes verificables, justificar decisiones y comparar alternativas reduce el valor de una respuesta genérica. No se trata de crear tareas imposibles para una máquina, sino de construir oportunidades en las que aprender, explicar y revisar sea más valioso que delegar el producto final (</w:t>
      </w:r>
      <w:proofErr w:type="spellStart"/>
      <w:r w:rsidRPr="00143D00">
        <w:rPr>
          <w:lang w:val="es-MX"/>
        </w:rPr>
        <w:t>Bretag</w:t>
      </w:r>
      <w:proofErr w:type="spellEnd"/>
      <w:r w:rsidRPr="00143D00">
        <w:rPr>
          <w:lang w:val="es-MX"/>
        </w:rPr>
        <w:t>, 2016; Cotton et al., 2024).</w:t>
      </w:r>
    </w:p>
    <w:p w14:paraId="1104F228" w14:textId="77777777" w:rsidR="00143D00" w:rsidRPr="00143D00" w:rsidRDefault="00143D00" w:rsidP="00143D00">
      <w:pPr>
        <w:rPr>
          <w:lang w:val="es-MX"/>
        </w:rPr>
      </w:pPr>
      <w:r w:rsidRPr="00143D00">
        <w:rPr>
          <w:lang w:val="es-MX"/>
        </w:rPr>
        <w:t xml:space="preserve">La evaluación oral puede complementar una producción escrita cuando existen dudas razonables o cuando forma parte normal del diseño. Debe aplicarse con criterios comunes, tiempo suficiente y ajustes de accesibilidad. Una entrevista improvisada y punitiva puede perjudicar a estudiantes con ansiedad, discapacidad o barreras lingüísticas. Su función es permitir que la persona explique conceptos, fuentes y decisiones, no provocar contradicciones. Las evidencias del proceso se consideran de manera conjunta. Ningún indicio aislado debe transformarse automáticamente en una acusación (International Center </w:t>
      </w:r>
      <w:proofErr w:type="spellStart"/>
      <w:r w:rsidRPr="00143D00">
        <w:rPr>
          <w:lang w:val="es-MX"/>
        </w:rPr>
        <w:t>for</w:t>
      </w:r>
      <w:proofErr w:type="spellEnd"/>
      <w:r w:rsidRPr="00143D00">
        <w:rPr>
          <w:lang w:val="es-MX"/>
        </w:rPr>
        <w:t xml:space="preserve"> </w:t>
      </w:r>
      <w:proofErr w:type="spellStart"/>
      <w:r w:rsidRPr="00143D00">
        <w:rPr>
          <w:lang w:val="es-MX"/>
        </w:rPr>
        <w:t>Academic</w:t>
      </w:r>
      <w:proofErr w:type="spellEnd"/>
      <w:r w:rsidRPr="00143D00">
        <w:rPr>
          <w:lang w:val="es-MX"/>
        </w:rPr>
        <w:t xml:space="preserve"> Integrity, 2021; CAST, 2024).</w:t>
      </w:r>
    </w:p>
    <w:p w14:paraId="05CAAE4B" w14:textId="4CA54665" w:rsidR="00143D00" w:rsidRPr="00143D00" w:rsidRDefault="00143D00" w:rsidP="00AF4905">
      <w:pPr>
        <w:pStyle w:val="Ttulo3"/>
        <w:rPr>
          <w:lang w:val="es-MX"/>
        </w:rPr>
      </w:pPr>
      <w:bookmarkStart w:id="100" w:name="_Toc239440957"/>
      <w:r w:rsidRPr="00143D00">
        <w:rPr>
          <w:lang w:val="es-MX"/>
        </w:rPr>
        <w:lastRenderedPageBreak/>
        <w:t>Detectores, privacidad, debido proceso y respuesta educativa</w:t>
      </w:r>
      <w:bookmarkEnd w:id="100"/>
    </w:p>
    <w:p w14:paraId="4B8D2AD8" w14:textId="77777777" w:rsidR="00143D00" w:rsidRPr="00143D00" w:rsidRDefault="00143D00" w:rsidP="00143D00">
      <w:pPr>
        <w:rPr>
          <w:lang w:val="es-MX"/>
        </w:rPr>
      </w:pPr>
      <w:r w:rsidRPr="00143D00">
        <w:rPr>
          <w:lang w:val="es-MX"/>
        </w:rPr>
        <w:t>Los detectores de texto generado por inteligencia artificial presentan errores y no pueden establecer autoría con certeza. Su rendimiento cambia según idioma, longitud, modelo, edición y características de quien escribe. Un resultado probabilístico no demuestra conducta indebida. Utilizarlo como prueba única expone a falsos positivos y puede afectar especialmente a quienes emplean estructuras lingüísticas previsibles. Si una institución decide usar estas herramientas, debe validarlas localmente, informar sus límites y tratarlas solo como una señal que requiere revisión humana y evidencia adicional (Miao &amp; Holmes, 2023; Weber-Wulff et al., 2023).</w:t>
      </w:r>
    </w:p>
    <w:p w14:paraId="01B171C5" w14:textId="77777777" w:rsidR="00143D00" w:rsidRPr="00143D00" w:rsidRDefault="00143D00" w:rsidP="00143D00">
      <w:pPr>
        <w:rPr>
          <w:lang w:val="es-MX"/>
        </w:rPr>
      </w:pPr>
      <w:r w:rsidRPr="00143D00">
        <w:rPr>
          <w:lang w:val="es-MX"/>
        </w:rPr>
        <w:t xml:space="preserve">La detección también plantea un problema de privacidad. Cargar trabajos en plataformas externas puede transferir propiedad intelectual, datos personales o investigaciones inéditas. Antes de utilizar un servicio, la universidad debe conocer qué almacena, durante cuánto tiempo, en qué jurisdicción y si reutiliza contenido para entrenamiento. El estudiante no debe ser obligado a aceptar términos comerciales como condición invisible de evaluación. Las alternativas institucionales y los contratos deben proteger el propósito educativo y limitar usos secundarios (Asamblea Nacional del Ecuador, 2021; </w:t>
      </w:r>
      <w:proofErr w:type="spellStart"/>
      <w:r w:rsidRPr="00143D00">
        <w:rPr>
          <w:lang w:val="es-MX"/>
        </w:rPr>
        <w:t>National</w:t>
      </w:r>
      <w:proofErr w:type="spellEnd"/>
      <w:r w:rsidRPr="00143D00">
        <w:rPr>
          <w:lang w:val="es-MX"/>
        </w:rPr>
        <w:t xml:space="preserve"> </w:t>
      </w:r>
      <w:proofErr w:type="spellStart"/>
      <w:r w:rsidRPr="00143D00">
        <w:rPr>
          <w:lang w:val="es-MX"/>
        </w:rPr>
        <w:t>Institute</w:t>
      </w:r>
      <w:proofErr w:type="spellEnd"/>
      <w:r w:rsidRPr="00143D00">
        <w:rPr>
          <w:lang w:val="es-MX"/>
        </w:rPr>
        <w:t xml:space="preserve"> </w:t>
      </w:r>
      <w:proofErr w:type="spellStart"/>
      <w:r w:rsidRPr="00143D00">
        <w:rPr>
          <w:lang w:val="es-MX"/>
        </w:rPr>
        <w:t>of</w:t>
      </w:r>
      <w:proofErr w:type="spellEnd"/>
      <w:r w:rsidRPr="00143D00">
        <w:rPr>
          <w:lang w:val="es-MX"/>
        </w:rPr>
        <w:t xml:space="preserve"> </w:t>
      </w:r>
      <w:proofErr w:type="spellStart"/>
      <w:r w:rsidRPr="00143D00">
        <w:rPr>
          <w:lang w:val="es-MX"/>
        </w:rPr>
        <w:t>Standards</w:t>
      </w:r>
      <w:proofErr w:type="spellEnd"/>
      <w:r w:rsidRPr="00143D00">
        <w:rPr>
          <w:lang w:val="es-MX"/>
        </w:rPr>
        <w:t xml:space="preserve"> and </w:t>
      </w:r>
      <w:proofErr w:type="spellStart"/>
      <w:r w:rsidRPr="00143D00">
        <w:rPr>
          <w:lang w:val="es-MX"/>
        </w:rPr>
        <w:t>Technology</w:t>
      </w:r>
      <w:proofErr w:type="spellEnd"/>
      <w:r w:rsidRPr="00143D00">
        <w:rPr>
          <w:lang w:val="es-MX"/>
        </w:rPr>
        <w:t xml:space="preserve"> [NIST], 2020).</w:t>
      </w:r>
    </w:p>
    <w:p w14:paraId="0F66491E" w14:textId="77777777" w:rsidR="00143D00" w:rsidRPr="00143D00" w:rsidRDefault="00143D00" w:rsidP="00143D00">
      <w:pPr>
        <w:rPr>
          <w:lang w:val="es-MX"/>
        </w:rPr>
      </w:pPr>
      <w:r w:rsidRPr="00143D00">
        <w:rPr>
          <w:lang w:val="es-MX"/>
        </w:rPr>
        <w:t>El debido proceso exige que una acusación sea clara, que la evidencia sea accesible y que la persona pueda responder. La autoridad que investiga debe diferenciarse, cuando sea posible, de quien decide la sanción. Los criterios y plazos se comunican con anticipación. La severidad considera intención, impacto, reincidencia, nivel formativo y claridad de las reglas. También debe existir apelación ante una instancia imparcial. Automatizar la clasificación del caso o la recomendación de sanción no elimina estas garantías y puede introducir sesgos difíciles de observar (UNESCO, 2021; Citron &amp; Pasquale, 2014).</w:t>
      </w:r>
    </w:p>
    <w:p w14:paraId="620FC05E" w14:textId="77777777" w:rsidR="00143D00" w:rsidRDefault="00143D00" w:rsidP="00143D00">
      <w:pPr>
        <w:rPr>
          <w:lang w:val="es-MX"/>
        </w:rPr>
      </w:pPr>
      <w:r w:rsidRPr="00143D00">
        <w:rPr>
          <w:lang w:val="es-MX"/>
        </w:rPr>
        <w:t>La respuesta educativa es especialmente importante en infracciones iniciales o asociadas con desconocimiento. Corregir citación, reconstruir una tarea, realizar una reflexión o recibir acompañamiento puede restablecer aprendizaje. Las sanciones siguen siendo necesarias ante fraude grave, pero deben ser proporcionales y coherentes. Una cultura exclusivamente punitiva incentiva ocultamiento y reduce las consultas honestas. La universidad fortalece integridad cuando enseña cómo atribuir, colaborar, utilizar herramientas y pedir ayuda, además de definir consecuencias (</w:t>
      </w:r>
      <w:proofErr w:type="spellStart"/>
      <w:r w:rsidRPr="00143D00">
        <w:rPr>
          <w:lang w:val="es-MX"/>
        </w:rPr>
        <w:t>Bretag</w:t>
      </w:r>
      <w:proofErr w:type="spellEnd"/>
      <w:r w:rsidRPr="00143D00">
        <w:rPr>
          <w:lang w:val="es-MX"/>
        </w:rPr>
        <w:t xml:space="preserve">, 2016; International Center </w:t>
      </w:r>
      <w:proofErr w:type="spellStart"/>
      <w:r w:rsidRPr="00143D00">
        <w:rPr>
          <w:lang w:val="es-MX"/>
        </w:rPr>
        <w:t>for</w:t>
      </w:r>
      <w:proofErr w:type="spellEnd"/>
      <w:r w:rsidRPr="00143D00">
        <w:rPr>
          <w:lang w:val="es-MX"/>
        </w:rPr>
        <w:t xml:space="preserve"> </w:t>
      </w:r>
      <w:proofErr w:type="spellStart"/>
      <w:r w:rsidRPr="00143D00">
        <w:rPr>
          <w:lang w:val="es-MX"/>
        </w:rPr>
        <w:t>Academic</w:t>
      </w:r>
      <w:proofErr w:type="spellEnd"/>
      <w:r w:rsidRPr="00143D00">
        <w:rPr>
          <w:lang w:val="es-MX"/>
        </w:rPr>
        <w:t xml:space="preserve"> Integrity, 2021).</w:t>
      </w:r>
    </w:p>
    <w:p w14:paraId="23B07DD1" w14:textId="5E2F1DA3" w:rsidR="00A27845" w:rsidRPr="00143D00" w:rsidRDefault="00A27845" w:rsidP="00143D00">
      <w:pPr>
        <w:rPr>
          <w:lang w:val="es-MX"/>
        </w:rPr>
      </w:pPr>
      <w:r>
        <w:rPr>
          <w:noProof/>
          <w:lang w:val="es-MX"/>
        </w:rPr>
        <w:lastRenderedPageBreak/>
        <w:drawing>
          <wp:inline distT="0" distB="0" distL="0" distR="0" wp14:anchorId="624F551C" wp14:editId="5090DEBD">
            <wp:extent cx="5400675" cy="3600450"/>
            <wp:effectExtent l="0" t="0" r="9525" b="0"/>
            <wp:docPr id="181366469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1153B709" w14:textId="2CC2E773" w:rsidR="00143D00" w:rsidRPr="00143D00" w:rsidRDefault="00143D00" w:rsidP="00AF4905">
      <w:pPr>
        <w:pStyle w:val="Ttulo3"/>
        <w:rPr>
          <w:lang w:val="es-MX"/>
        </w:rPr>
      </w:pPr>
      <w:bookmarkStart w:id="101" w:name="_Toc239440958"/>
      <w:r w:rsidRPr="00143D00">
        <w:rPr>
          <w:lang w:val="es-MX"/>
        </w:rPr>
        <w:t>Dependencia, sesgo de automatización y autonomía cognitiva</w:t>
      </w:r>
      <w:bookmarkEnd w:id="101"/>
    </w:p>
    <w:p w14:paraId="53A1826D" w14:textId="77777777" w:rsidR="00143D00" w:rsidRPr="00143D00" w:rsidRDefault="00143D00" w:rsidP="00143D00">
      <w:pPr>
        <w:rPr>
          <w:lang w:val="es-MX"/>
        </w:rPr>
      </w:pPr>
      <w:r w:rsidRPr="00143D00">
        <w:rPr>
          <w:lang w:val="es-MX"/>
        </w:rPr>
        <w:t>La dependencia tecnológica aparece cuando la persona delega de manera habitual funciones necesarias para aprender o decidir y pierde capacidad de ejecutarlas, verificarlas o cuestionarlas. No toda externalización cognitiva es negativa. Las calculadoras, buscadores y correctores liberan recursos cuando el usuario comprende sus límites. El problema surge si la herramienta reemplaza práctica deliberada, memoria conceptual, formulación de problemas o juicio. La dependencia se evalúa según autonomía, comprensión y posibilidad de continuar ante un fallo, no según la frecuencia de uso por sí sola (Parasuraman &amp; Riley, 1997; Zhai et al., 2024).</w:t>
      </w:r>
    </w:p>
    <w:p w14:paraId="7615653D" w14:textId="77777777" w:rsidR="00143D00" w:rsidRPr="00143D00" w:rsidRDefault="00143D00" w:rsidP="00143D00">
      <w:pPr>
        <w:rPr>
          <w:lang w:val="es-MX"/>
        </w:rPr>
      </w:pPr>
      <w:r w:rsidRPr="00143D00">
        <w:rPr>
          <w:lang w:val="es-MX"/>
        </w:rPr>
        <w:t>El sesgo de automatización lleva a aceptar una recomendación porque proviene de un sistema, incluso cuando existen señales de error. Los modelos generativos refuerzan esta tendencia mediante respuestas fluidas y seguras. El usuario puede confundir coherencia lingüística con evidencia. Para contrarrestarlo, las actividades deben pedir contraste con fuentes, identificación de incertidumbres y búsqueda de contraejemplos. La interfaz también debe evitar afirmar autoridad inexistente. La alfabetización en inteligencia artificial incluye saber cuándo desconfiar y cuándo abandonar la herramienta (Parasuraman &amp; Riley, 1997; Miao &amp; Holmes, 2023).</w:t>
      </w:r>
    </w:p>
    <w:p w14:paraId="2DD9C69A" w14:textId="77777777" w:rsidR="00143D00" w:rsidRPr="00143D00" w:rsidRDefault="00143D00" w:rsidP="00143D00">
      <w:pPr>
        <w:rPr>
          <w:lang w:val="es-MX"/>
        </w:rPr>
      </w:pPr>
      <w:r w:rsidRPr="00143D00">
        <w:rPr>
          <w:lang w:val="es-MX"/>
        </w:rPr>
        <w:t xml:space="preserve">La descarga cognitiva puede ser productiva cuando se reserva a tareas rutinarias y permite concentrarse en análisis complejo. Sin embargo, el beneficio depende de que la persona mantenga supervisión y recupere habilidades cuando son necesarias. Un estudiante que solicita un resumen y luego lo compara con el texto ejerce una actividad distinta de quien sustituye la lectura. El docente puede establecer momentos sin asistencia, momentos de uso guiado y momentos de </w:t>
      </w:r>
      <w:r w:rsidRPr="00143D00">
        <w:rPr>
          <w:lang w:val="es-MX"/>
        </w:rPr>
        <w:lastRenderedPageBreak/>
        <w:t>revisión crítica. Esta alternancia ayuda a observar qué capacidades se desarrollan y cuáles se están debilitando (Zhai et al., 2024; OECD, 2026).</w:t>
      </w:r>
    </w:p>
    <w:p w14:paraId="16A4DC16" w14:textId="77777777" w:rsidR="00143D00" w:rsidRPr="00143D00" w:rsidRDefault="00143D00" w:rsidP="00143D00">
      <w:pPr>
        <w:rPr>
          <w:lang w:val="es-MX"/>
        </w:rPr>
      </w:pPr>
      <w:r w:rsidRPr="00143D00">
        <w:rPr>
          <w:lang w:val="es-MX"/>
        </w:rPr>
        <w:t>La dependencia institucional también merece atención. Una universidad puede organizar enseñanza, evaluación y servicios alrededor de un proveedor hasta perder capacidad de operar sin él. Cambios de precio, condiciones, modelo o disponibilidad afectan continuidad. La respuesta incluye estándares abiertos, portabilidad, documentación, copias autorizadas y planes de salida. También requiere conservar conocimiento interno para evaluar resultados. La conveniencia de una plataforma no debe convertir su funcionamiento en norma académica ni trasladar al proveedor decisiones sobre currículo e integridad (OECD, 2023; Tabassi, 2023).</w:t>
      </w:r>
    </w:p>
    <w:p w14:paraId="4D9BFF2C" w14:textId="77777777" w:rsidR="00143D00" w:rsidRPr="00143D00" w:rsidRDefault="00143D00" w:rsidP="00143D00">
      <w:pPr>
        <w:rPr>
          <w:lang w:val="es-MX"/>
        </w:rPr>
      </w:pPr>
      <w:r w:rsidRPr="00143D00">
        <w:rPr>
          <w:lang w:val="es-MX"/>
        </w:rPr>
        <w:t>La dependencia puede profundizar desigualdades. Quienes pagan versiones avanzadas reciben funciones diferentes, mientras otros dependen de acceso limitado, conectividad inestable o dispositivos compartidos. Si una actividad presupone una herramienta comercial, la universidad debe ofrecer una opción equivalente y no penalizar a quien la rechaza por motivos de privacidad, accesibilidad o conciencia. La evaluación debe medir el aprendizaje previsto, no la capacidad de comprar servicios o dominar una interfaz específica (UNESCO, 2023; OECD, 2026).</w:t>
      </w:r>
    </w:p>
    <w:p w14:paraId="74992A40" w14:textId="4ECA6376" w:rsidR="00143D00" w:rsidRPr="00143D00" w:rsidRDefault="00143D00" w:rsidP="00AF4905">
      <w:pPr>
        <w:pStyle w:val="Ttulo3"/>
        <w:rPr>
          <w:lang w:val="es-MX"/>
        </w:rPr>
      </w:pPr>
      <w:bookmarkStart w:id="102" w:name="_Toc239440959"/>
      <w:r w:rsidRPr="00143D00">
        <w:rPr>
          <w:lang w:val="es-MX"/>
        </w:rPr>
        <w:t>Bienestar, alfabetización, transparencia y criterios compartidos</w:t>
      </w:r>
      <w:bookmarkEnd w:id="102"/>
    </w:p>
    <w:p w14:paraId="32F6CF57" w14:textId="77777777" w:rsidR="00143D00" w:rsidRPr="00143D00" w:rsidRDefault="00143D00" w:rsidP="00143D00">
      <w:pPr>
        <w:rPr>
          <w:lang w:val="es-MX"/>
        </w:rPr>
      </w:pPr>
      <w:r w:rsidRPr="00143D00">
        <w:rPr>
          <w:lang w:val="es-MX"/>
        </w:rPr>
        <w:t>El bienestar también forma parte del análisis. La presión por producir más rápido puede convertir la inteligencia artificial en obligación tácita. Estudiantes y docentes pueden sentir que no usarla implica quedarse atrás. Esta aceleración aumenta carga de verificación, incertidumbre sobre autoría y fatiga tecnológica. La institución debe proteger tiempos de aprendizaje, conversación y trabajo sin automatización. La adopción responsable no se mide por cantidad de herramientas, sino por su contribución demostrable a fines educativos y por la posibilidad real de no utilizarlas (Crawford, 2021; UNESCO, 2021).</w:t>
      </w:r>
    </w:p>
    <w:p w14:paraId="417CFA46" w14:textId="77777777" w:rsidR="00143D00" w:rsidRPr="00143D00" w:rsidRDefault="00143D00" w:rsidP="00143D00">
      <w:pPr>
        <w:rPr>
          <w:lang w:val="es-MX"/>
        </w:rPr>
      </w:pPr>
      <w:r w:rsidRPr="00143D00">
        <w:rPr>
          <w:lang w:val="es-MX"/>
        </w:rPr>
        <w:t>La alfabetización informacional ofrece una base para reducir fraude y dependencia. Enseña a formular necesidades, buscar, evaluar autoridad, comprender cómo se produce la información y reconocer aportes ajenos. Frente a resultados generativos, el estudiante debe rastrear afirmaciones hasta fuentes originales. Una referencia inventada no se corrige con estilo APA, sino con verificación. Las bibliotecas universitarias pueden desarrollar talleres, guías y consultas integradas al currículo, en colaboración con docentes y unidades de integridad (</w:t>
      </w:r>
      <w:proofErr w:type="spellStart"/>
      <w:r w:rsidRPr="00143D00">
        <w:rPr>
          <w:lang w:val="es-MX"/>
        </w:rPr>
        <w:t>Association</w:t>
      </w:r>
      <w:proofErr w:type="spellEnd"/>
      <w:r w:rsidRPr="00143D00">
        <w:rPr>
          <w:lang w:val="es-MX"/>
        </w:rPr>
        <w:t xml:space="preserve"> </w:t>
      </w:r>
      <w:proofErr w:type="spellStart"/>
      <w:r w:rsidRPr="00143D00">
        <w:rPr>
          <w:lang w:val="es-MX"/>
        </w:rPr>
        <w:t>of</w:t>
      </w:r>
      <w:proofErr w:type="spellEnd"/>
      <w:r w:rsidRPr="00143D00">
        <w:rPr>
          <w:lang w:val="es-MX"/>
        </w:rPr>
        <w:t xml:space="preserve"> College and </w:t>
      </w:r>
      <w:proofErr w:type="spellStart"/>
      <w:r w:rsidRPr="00143D00">
        <w:rPr>
          <w:lang w:val="es-MX"/>
        </w:rPr>
        <w:t>Research</w:t>
      </w:r>
      <w:proofErr w:type="spellEnd"/>
      <w:r w:rsidRPr="00143D00">
        <w:rPr>
          <w:lang w:val="es-MX"/>
        </w:rPr>
        <w:t xml:space="preserve"> </w:t>
      </w:r>
      <w:proofErr w:type="spellStart"/>
      <w:r w:rsidRPr="00143D00">
        <w:rPr>
          <w:lang w:val="es-MX"/>
        </w:rPr>
        <w:t>Libraries</w:t>
      </w:r>
      <w:proofErr w:type="spellEnd"/>
      <w:r w:rsidRPr="00143D00">
        <w:rPr>
          <w:lang w:val="es-MX"/>
        </w:rPr>
        <w:t>, 2016; Miao &amp; Holmes, 2023).</w:t>
      </w:r>
    </w:p>
    <w:p w14:paraId="729A15B6" w14:textId="77777777" w:rsidR="00143D00" w:rsidRPr="00143D00" w:rsidRDefault="00143D00" w:rsidP="00143D00">
      <w:pPr>
        <w:rPr>
          <w:lang w:val="es-MX"/>
        </w:rPr>
      </w:pPr>
      <w:r w:rsidRPr="00143D00">
        <w:rPr>
          <w:lang w:val="es-MX"/>
        </w:rPr>
        <w:t xml:space="preserve">La transparencia del proceso puede solicitarse mediante anexos breves, bitácoras o declaraciones de asistencia. Estas evidencias deben ser pedagógicas y proporcionales. No conviene exigir historiales completos de conversación que contengan dudas personales, datos de terceros o propiedad intelectual. El estudiante puede describir qué pidió, qué recibió, qué rechazó y cómo verificó. La finalidad es hacer visible el juicio humano, no normalizar vigilancia. Las </w:t>
      </w:r>
      <w:r w:rsidRPr="00143D00">
        <w:rPr>
          <w:lang w:val="es-MX"/>
        </w:rPr>
        <w:lastRenderedPageBreak/>
        <w:t>declaraciones se almacenan solo durante el periodo necesario para evaluar y resolver reclamaciones (NIST, 2020; UNESCO, 2021).</w:t>
      </w:r>
    </w:p>
    <w:p w14:paraId="1C3FCF7F" w14:textId="77777777" w:rsidR="00143D00" w:rsidRPr="00143D00" w:rsidRDefault="00143D00" w:rsidP="00143D00">
      <w:pPr>
        <w:rPr>
          <w:lang w:val="es-MX"/>
        </w:rPr>
      </w:pPr>
      <w:r w:rsidRPr="00143D00">
        <w:rPr>
          <w:lang w:val="es-MX"/>
        </w:rPr>
        <w:t xml:space="preserve">El profesorado necesita criterios compartidos para responder con consistencia. Si cada asignatura adopta reglas incompatibles sin explicación, el estudiante no sabe qué conducta se espera. La política general establece valores, derechos y categorías, mientras la guía de cada curso especifica usos y formas de declaración. Los equipos revisan casos y ejemplos, reciben asesoría y documentan decisiones. La coherencia no significa uniformidad absoluta, porque los objetivos disciplinares varían, pero sí exige lenguaje común, comunicación anticipada y protección equivalente (International Center </w:t>
      </w:r>
      <w:proofErr w:type="spellStart"/>
      <w:r w:rsidRPr="00143D00">
        <w:rPr>
          <w:lang w:val="es-MX"/>
        </w:rPr>
        <w:t>for</w:t>
      </w:r>
      <w:proofErr w:type="spellEnd"/>
      <w:r w:rsidRPr="00143D00">
        <w:rPr>
          <w:lang w:val="es-MX"/>
        </w:rPr>
        <w:t xml:space="preserve"> </w:t>
      </w:r>
      <w:proofErr w:type="spellStart"/>
      <w:r w:rsidRPr="00143D00">
        <w:rPr>
          <w:lang w:val="es-MX"/>
        </w:rPr>
        <w:t>Academic</w:t>
      </w:r>
      <w:proofErr w:type="spellEnd"/>
      <w:r w:rsidRPr="00143D00">
        <w:rPr>
          <w:lang w:val="es-MX"/>
        </w:rPr>
        <w:t xml:space="preserve"> Integrity, 2021; Cotton et al., 2024).</w:t>
      </w:r>
    </w:p>
    <w:p w14:paraId="5707EFA9" w14:textId="77777777" w:rsidR="00143D00" w:rsidRPr="00143D00" w:rsidRDefault="00143D00" w:rsidP="00143D00">
      <w:pPr>
        <w:rPr>
          <w:lang w:val="es-MX"/>
        </w:rPr>
      </w:pPr>
      <w:r w:rsidRPr="00143D00">
        <w:rPr>
          <w:lang w:val="es-MX"/>
        </w:rPr>
        <w:t>La evaluación de la política de integridad debe observar más que el número de sanciones. Conviene analizar comprensión de reglas, consultas, calidad de tareas, distribución de casos, tiempos de resolución y percepción de justicia. Un aumento de reportes puede indicar más problemas o mayor confianza para denunciar. Los datos se desagregan con cautela y no se utilizan para etiquetar grupos. Las revisiones incorporan experiencias de estudiantes y docentes. La meta es una cultura capaz de prevenir, detectar, aprender y reparar, sin sacrificar presunción de buena fe ni rigor académico (</w:t>
      </w:r>
      <w:proofErr w:type="spellStart"/>
      <w:r w:rsidRPr="00143D00">
        <w:rPr>
          <w:lang w:val="es-MX"/>
        </w:rPr>
        <w:t>Bretag</w:t>
      </w:r>
      <w:proofErr w:type="spellEnd"/>
      <w:r w:rsidRPr="00143D00">
        <w:rPr>
          <w:lang w:val="es-MX"/>
        </w:rPr>
        <w:t>, 2016; UNESCO, 2021).</w:t>
      </w:r>
    </w:p>
    <w:p w14:paraId="15BB0F0B" w14:textId="1D914183" w:rsidR="00143D00" w:rsidRPr="00143D00" w:rsidRDefault="00143D00" w:rsidP="00AF4905">
      <w:pPr>
        <w:pStyle w:val="Ttulo2"/>
        <w:rPr>
          <w:lang w:val="es-MX"/>
        </w:rPr>
      </w:pPr>
      <w:bookmarkStart w:id="103" w:name="_Toc239440960"/>
      <w:r w:rsidRPr="00143D00">
        <w:rPr>
          <w:lang w:val="es-MX"/>
        </w:rPr>
        <w:t>Privacidad y protección de datos</w:t>
      </w:r>
      <w:bookmarkEnd w:id="103"/>
    </w:p>
    <w:p w14:paraId="443CD11E" w14:textId="0818AB50" w:rsidR="00143D00" w:rsidRPr="00143D00" w:rsidRDefault="00143D00" w:rsidP="00AF4905">
      <w:pPr>
        <w:pStyle w:val="Ttulo3"/>
        <w:rPr>
          <w:lang w:val="es-MX"/>
        </w:rPr>
      </w:pPr>
      <w:bookmarkStart w:id="104" w:name="_Toc239440961"/>
      <w:r w:rsidRPr="00143D00">
        <w:rPr>
          <w:lang w:val="es-MX"/>
        </w:rPr>
        <w:t>Finalidad, minimización, legitimación y transparencia</w:t>
      </w:r>
      <w:bookmarkEnd w:id="104"/>
    </w:p>
    <w:p w14:paraId="6C2F479C" w14:textId="77777777" w:rsidR="00143D00" w:rsidRPr="00143D00" w:rsidRDefault="00143D00" w:rsidP="00143D00">
      <w:pPr>
        <w:rPr>
          <w:lang w:val="es-MX"/>
        </w:rPr>
      </w:pPr>
      <w:r w:rsidRPr="00143D00">
        <w:rPr>
          <w:lang w:val="es-MX"/>
        </w:rPr>
        <w:t>Las universidades tratan grandes volúmenes de datos personales, incluidos expedientes académicos, información financiera, salud, discapacidad, imágenes, comunicaciones y patrones de actividad digital. La inteligencia artificial puede combinar estos registros y producir inferencias que no estaban presentes de forma explícita. Por ello, la privacidad no consiste solo en ocultar nombres. Comprende la capacidad de las personas para comprender y participar en decisiones sobre información que las describe. La protección debe abarcar recopilación, uso, transferencia, conservación, entrenamiento, eliminación y respuesta a incidentes (NIST, 2020; UNESCO, 2021).</w:t>
      </w:r>
    </w:p>
    <w:p w14:paraId="6CDB1219" w14:textId="77777777" w:rsidR="00143D00" w:rsidRPr="00143D00" w:rsidRDefault="00143D00" w:rsidP="00143D00">
      <w:pPr>
        <w:rPr>
          <w:lang w:val="es-MX"/>
        </w:rPr>
      </w:pPr>
      <w:r w:rsidRPr="00143D00">
        <w:rPr>
          <w:lang w:val="es-MX"/>
        </w:rPr>
        <w:t>La finalidad delimita por qué se tratan los datos. Una plataforma creada para impartir clases no debería reutilizar conversaciones para perfilar empleabilidad o publicidad sin una evaluación y una base legítima. Expresiones amplias como mejorar servicios no son suficientes para justificar cualquier uso. La institución formula propósitos específicos, comprensibles y verificables antes de recopilar. Cuando aparece una nueva finalidad, debe examinar compatibilidad, riesgos y derechos. Este principio reduce la acumulación oportunista y facilita evaluar si el sistema sigue siendo necesario (Asamblea Nacional del Ecuador, 2021; OECD, 2023).</w:t>
      </w:r>
    </w:p>
    <w:p w14:paraId="2B522E9D" w14:textId="77777777" w:rsidR="00143D00" w:rsidRPr="00143D00" w:rsidRDefault="00143D00" w:rsidP="00143D00">
      <w:pPr>
        <w:rPr>
          <w:lang w:val="es-MX"/>
        </w:rPr>
      </w:pPr>
      <w:r w:rsidRPr="00143D00">
        <w:rPr>
          <w:lang w:val="es-MX"/>
        </w:rPr>
        <w:lastRenderedPageBreak/>
        <w:t>La minimización exige recopilar únicamente información adecuada, pertinente y necesaria. Un modelo puede mejorar marginalmente al añadir variables, pero ese beneficio debe compararse con exposición y posible discriminación. No se solicitan datos sensibles por comodidad. Tampoco se conservan conversaciones completas si bastan indicadores agregados. La minimización se aplica a campos, precisión, población, frecuencia y plazo. Diseñar con menos datos puede requerir mayor esfuerzo técnico, pero disminuye consecuencias de filtraciones y limita usos secundarios (NIST, 2020; Asamblea Nacional del Ecuador, 2021).</w:t>
      </w:r>
    </w:p>
    <w:p w14:paraId="0AD2F54F" w14:textId="77777777" w:rsidR="00143D00" w:rsidRPr="00143D00" w:rsidRDefault="00143D00" w:rsidP="00143D00">
      <w:pPr>
        <w:rPr>
          <w:lang w:val="es-MX"/>
        </w:rPr>
      </w:pPr>
      <w:r w:rsidRPr="00143D00">
        <w:rPr>
          <w:lang w:val="es-MX"/>
        </w:rPr>
        <w:t>La base de legitimación debe identificarse con precisión. En contextos universitarios, el consentimiento puede ser débil cuando una persona teme perder acceso, calificación o apoyo si se niega. Una casilla aceptada no convierte automáticamente el tratamiento en justo. La institución determina si actúa por obligación legal, relación contractual, interés público u otra base reconocida, y ofrece elección real cuando depende de consentimiento. Las finalidades diferentes pueden requerir bases diferentes. La documentación jurídica debe acompañarse de una explicación clara para la comunidad (Asamblea Nacional del Ecuador, 2021; UNESCO, 2021).</w:t>
      </w:r>
    </w:p>
    <w:p w14:paraId="5A199AFC" w14:textId="381549E9" w:rsidR="00143D00" w:rsidRDefault="00143D00" w:rsidP="00AF4905">
      <w:pPr>
        <w:pStyle w:val="Ttulo3"/>
        <w:rPr>
          <w:lang w:val="es-MX"/>
        </w:rPr>
      </w:pPr>
      <w:bookmarkStart w:id="105" w:name="_Toc239440962"/>
      <w:r w:rsidRPr="00143D00">
        <w:rPr>
          <w:lang w:val="es-MX"/>
        </w:rPr>
        <w:t>Derechos, protección desde el diseño y evaluación de impacto</w:t>
      </w:r>
      <w:bookmarkEnd w:id="105"/>
    </w:p>
    <w:p w14:paraId="67EE09AB" w14:textId="2E92EB63" w:rsidR="00CD73D1" w:rsidRPr="00CD73D1" w:rsidRDefault="007729ED" w:rsidP="00CD73D1">
      <w:pPr>
        <w:rPr>
          <w:lang w:val="es-MX"/>
        </w:rPr>
      </w:pPr>
      <w:r>
        <w:rPr>
          <w:noProof/>
          <w:lang w:val="es-MX"/>
        </w:rPr>
        <w:drawing>
          <wp:inline distT="0" distB="0" distL="0" distR="0" wp14:anchorId="3E2CDF25" wp14:editId="555CF03B">
            <wp:extent cx="5400675" cy="3600450"/>
            <wp:effectExtent l="0" t="0" r="9525" b="0"/>
            <wp:docPr id="16714308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235B93BC" w14:textId="77777777" w:rsidR="00143D00" w:rsidRPr="00143D00" w:rsidRDefault="00143D00" w:rsidP="00143D00">
      <w:pPr>
        <w:rPr>
          <w:lang w:val="es-MX"/>
        </w:rPr>
      </w:pPr>
      <w:r w:rsidRPr="00143D00">
        <w:rPr>
          <w:lang w:val="es-MX"/>
        </w:rPr>
        <w:t xml:space="preserve">La transparencia requiere avisos comprensibles en el momento oportuno. Las personas necesitan saber qué datos se utilizan, para qué, durante cuánto tiempo, con quién se comparten y cómo ejercer derechos. Cuando existen inferencias o decisiones automatizadas, se explica su función y alcance. Un texto extenso escondido en términos de servicio no cumple una finalidad pedagógica. Se pueden utilizar capas, ejemplos y preguntas frecuentes, con una versión completa disponible. </w:t>
      </w:r>
      <w:r w:rsidRPr="00143D00">
        <w:rPr>
          <w:lang w:val="es-MX"/>
        </w:rPr>
        <w:lastRenderedPageBreak/>
        <w:t>La información debe ser accesible, multilingüe cuando corresponda y coherente con el funcionamiento real (NIST, 2020; Miao &amp; Holmes, 2023).</w:t>
      </w:r>
    </w:p>
    <w:p w14:paraId="0B3F5324" w14:textId="77777777" w:rsidR="00143D00" w:rsidRPr="00143D00" w:rsidRDefault="00143D00" w:rsidP="00143D00">
      <w:pPr>
        <w:rPr>
          <w:lang w:val="es-MX"/>
        </w:rPr>
      </w:pPr>
      <w:r w:rsidRPr="00143D00">
        <w:rPr>
          <w:lang w:val="es-MX"/>
        </w:rPr>
        <w:t>En Ecuador, la Ley Orgánica de Protección de Datos Personales reconoce principios y derechos aplicables al tratamiento de información personal. Para una universidad, ello implica integrar protección desde el diseño, mantener medidas de seguridad, atender solicitudes y evaluar operaciones de alto riesgo. El Reglamento General desarrolla la aplicación de estas obligaciones. La normativa debe traducirse en inventarios, responsables, procedimientos y contratos, no permanecer como referencia aislada del área jurídica. Cada institución debe obtener asesoría competente para su contexto y actualizarla conforme evolucionen disposiciones de la autoridad (Asamblea Nacional del Ecuador, 2021; Presidencia de la República del Ecuador, 2023).</w:t>
      </w:r>
    </w:p>
    <w:p w14:paraId="17653644" w14:textId="77777777" w:rsidR="00143D00" w:rsidRPr="00143D00" w:rsidRDefault="00143D00" w:rsidP="00143D00">
      <w:pPr>
        <w:rPr>
          <w:lang w:val="es-MX"/>
        </w:rPr>
      </w:pPr>
      <w:r w:rsidRPr="00143D00">
        <w:rPr>
          <w:lang w:val="es-MX"/>
        </w:rPr>
        <w:t>La protección desde el diseño incorpora salvaguardas antes de desplegar una herramienta. El equipo define configuraciones privadas, limita permisos, separa entornos, reduce registros y prueba escenarios de abuso. La protección por defecto significa que la opción inicial favorece la menor exposición, sin exigir que cada estudiante descubra controles complejos. La revisión se realiza durante adquisición, desarrollo y actualización. Corregir después de una filtración es más costoso y no repara plenamente pérdida de control o reputación (Asamblea Nacional del Ecuador, 2021; NIST, 2020).</w:t>
      </w:r>
    </w:p>
    <w:p w14:paraId="20DF8C4C" w14:textId="77777777" w:rsidR="00143D00" w:rsidRPr="00143D00" w:rsidRDefault="00143D00" w:rsidP="00143D00">
      <w:pPr>
        <w:rPr>
          <w:lang w:val="es-MX"/>
        </w:rPr>
      </w:pPr>
      <w:r w:rsidRPr="00143D00">
        <w:rPr>
          <w:lang w:val="es-MX"/>
        </w:rPr>
        <w:t>Una evaluación de impacto examina operaciones susceptibles de generar alto riesgo. Describe propósito, actores, flujo de datos, necesidad, proporcionalidad, amenazas, consecuencias y medidas. No es un formulario para aprobar de manera automática. Debe influir en la decisión, permitir rediseñar y, si el riesgo residual es inaceptable, impedir el uso. Participan áreas académicas, tecnológicas, jurídicas y personas afectadas. En Ecuador, la autoridad ha emitido orientación sobre gestión de riesgos y evaluación de impacto, lo que refuerza la necesidad de un proceso documentado y previo (Superintendencia de Protección de Datos Personales, 2025; Tabassi, 2023).</w:t>
      </w:r>
    </w:p>
    <w:p w14:paraId="3B15FEED" w14:textId="31971D4F" w:rsidR="00143D00" w:rsidRPr="00143D00" w:rsidRDefault="00143D00" w:rsidP="00143D00">
      <w:pPr>
        <w:rPr>
          <w:lang w:val="es-MX"/>
        </w:rPr>
      </w:pPr>
      <w:r w:rsidRPr="00143D00">
        <w:rPr>
          <w:b/>
          <w:bCs/>
          <w:lang w:val="es-MX"/>
        </w:rPr>
        <w:t xml:space="preserve">Tabla </w:t>
      </w:r>
      <w:r w:rsidR="00FA6F60">
        <w:rPr>
          <w:b/>
          <w:bCs/>
          <w:lang w:val="es-MX"/>
        </w:rPr>
        <w:t>5</w:t>
      </w:r>
      <w:r w:rsidRPr="00143D00">
        <w:rPr>
          <w:b/>
          <w:bCs/>
          <w:lang w:val="es-MX"/>
        </w:rPr>
        <w:t>.2. Salvaguardias durante el ciclo de datos personales</w:t>
      </w:r>
    </w:p>
    <w:tbl>
      <w:tblPr>
        <w:tblStyle w:val="Tablanormal2"/>
        <w:tblW w:w="8392" w:type="dxa"/>
        <w:tblLook w:val="04A0" w:firstRow="1" w:lastRow="0" w:firstColumn="1" w:lastColumn="0" w:noHBand="0" w:noVBand="1"/>
      </w:tblPr>
      <w:tblGrid>
        <w:gridCol w:w="2098"/>
        <w:gridCol w:w="2098"/>
        <w:gridCol w:w="2098"/>
        <w:gridCol w:w="2098"/>
      </w:tblGrid>
      <w:tr w:rsidR="00143D00" w:rsidRPr="00143D00" w14:paraId="2D437397" w14:textId="77777777" w:rsidTr="00AF49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5E1903B" w14:textId="77777777" w:rsidR="00143D00" w:rsidRPr="00AF4905" w:rsidRDefault="00143D00" w:rsidP="00AF4905">
            <w:pPr>
              <w:spacing w:before="0" w:after="0" w:line="240" w:lineRule="auto"/>
              <w:jc w:val="center"/>
              <w:rPr>
                <w:sz w:val="20"/>
                <w:szCs w:val="20"/>
                <w:lang w:val="es-MX"/>
              </w:rPr>
            </w:pPr>
            <w:r w:rsidRPr="00AF4905">
              <w:rPr>
                <w:sz w:val="20"/>
                <w:szCs w:val="20"/>
                <w:lang w:val="es-MX"/>
              </w:rPr>
              <w:t>Etapa</w:t>
            </w:r>
          </w:p>
        </w:tc>
        <w:tc>
          <w:tcPr>
            <w:tcW w:w="2098" w:type="dxa"/>
            <w:vAlign w:val="center"/>
            <w:hideMark/>
          </w:tcPr>
          <w:p w14:paraId="496701DF"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Riesgo principal</w:t>
            </w:r>
          </w:p>
        </w:tc>
        <w:tc>
          <w:tcPr>
            <w:tcW w:w="2098" w:type="dxa"/>
            <w:vAlign w:val="center"/>
            <w:hideMark/>
          </w:tcPr>
          <w:p w14:paraId="0FBFAB12"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Salvaguardia</w:t>
            </w:r>
          </w:p>
        </w:tc>
        <w:tc>
          <w:tcPr>
            <w:tcW w:w="2098" w:type="dxa"/>
            <w:vAlign w:val="center"/>
            <w:hideMark/>
          </w:tcPr>
          <w:p w14:paraId="471289F6" w14:textId="77777777" w:rsidR="00143D00" w:rsidRPr="00AF4905" w:rsidRDefault="00143D00" w:rsidP="00AF490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Evidencia</w:t>
            </w:r>
          </w:p>
        </w:tc>
      </w:tr>
      <w:tr w:rsidR="00143D00" w:rsidRPr="00143D00" w14:paraId="2F22CFD5" w14:textId="77777777" w:rsidTr="00AF4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FB63DCD" w14:textId="77777777" w:rsidR="00143D00" w:rsidRPr="00AF4905" w:rsidRDefault="00143D00" w:rsidP="00AF4905">
            <w:pPr>
              <w:spacing w:before="0" w:after="0" w:line="240" w:lineRule="auto"/>
              <w:rPr>
                <w:sz w:val="20"/>
                <w:szCs w:val="20"/>
                <w:lang w:val="es-MX"/>
              </w:rPr>
            </w:pPr>
            <w:r w:rsidRPr="00AF4905">
              <w:rPr>
                <w:sz w:val="20"/>
                <w:szCs w:val="20"/>
                <w:lang w:val="es-MX"/>
              </w:rPr>
              <w:t>Recopilación</w:t>
            </w:r>
          </w:p>
        </w:tc>
        <w:tc>
          <w:tcPr>
            <w:tcW w:w="2098" w:type="dxa"/>
            <w:vAlign w:val="center"/>
            <w:hideMark/>
          </w:tcPr>
          <w:p w14:paraId="5D6DA20F"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Datos excesivos o finalidad ambigua</w:t>
            </w:r>
          </w:p>
        </w:tc>
        <w:tc>
          <w:tcPr>
            <w:tcW w:w="2098" w:type="dxa"/>
            <w:vAlign w:val="center"/>
            <w:hideMark/>
          </w:tcPr>
          <w:p w14:paraId="51EF0951"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Minimización y base de legitimación</w:t>
            </w:r>
          </w:p>
        </w:tc>
        <w:tc>
          <w:tcPr>
            <w:tcW w:w="2098" w:type="dxa"/>
            <w:vAlign w:val="center"/>
            <w:hideMark/>
          </w:tcPr>
          <w:p w14:paraId="5A454988"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Formulario, aviso y registro de finalidad</w:t>
            </w:r>
          </w:p>
        </w:tc>
      </w:tr>
      <w:tr w:rsidR="00143D00" w:rsidRPr="00143D00" w14:paraId="029E8FF3" w14:textId="77777777" w:rsidTr="00AF49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58BE7A8" w14:textId="77777777" w:rsidR="00143D00" w:rsidRPr="00AF4905" w:rsidRDefault="00143D00" w:rsidP="00AF4905">
            <w:pPr>
              <w:spacing w:before="0" w:after="0" w:line="240" w:lineRule="auto"/>
              <w:rPr>
                <w:sz w:val="20"/>
                <w:szCs w:val="20"/>
                <w:lang w:val="es-MX"/>
              </w:rPr>
            </w:pPr>
            <w:r w:rsidRPr="00AF4905">
              <w:rPr>
                <w:sz w:val="20"/>
                <w:szCs w:val="20"/>
                <w:lang w:val="es-MX"/>
              </w:rPr>
              <w:t>Uso</w:t>
            </w:r>
          </w:p>
        </w:tc>
        <w:tc>
          <w:tcPr>
            <w:tcW w:w="2098" w:type="dxa"/>
            <w:vAlign w:val="center"/>
            <w:hideMark/>
          </w:tcPr>
          <w:p w14:paraId="43430A99"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Perfilado incompatible o decisiones opacas</w:t>
            </w:r>
          </w:p>
        </w:tc>
        <w:tc>
          <w:tcPr>
            <w:tcW w:w="2098" w:type="dxa"/>
            <w:vAlign w:val="center"/>
            <w:hideMark/>
          </w:tcPr>
          <w:p w14:paraId="7DFA5F01"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Acceso limitado y revisión humana</w:t>
            </w:r>
          </w:p>
        </w:tc>
        <w:tc>
          <w:tcPr>
            <w:tcW w:w="2098" w:type="dxa"/>
            <w:vAlign w:val="center"/>
            <w:hideMark/>
          </w:tcPr>
          <w:p w14:paraId="091B97E3"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Permisos, trazabilidad y protocolo</w:t>
            </w:r>
          </w:p>
        </w:tc>
      </w:tr>
      <w:tr w:rsidR="00143D00" w:rsidRPr="00143D00" w14:paraId="3D57824B" w14:textId="77777777" w:rsidTr="00AF4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804FE66" w14:textId="77777777" w:rsidR="00143D00" w:rsidRPr="00AF4905" w:rsidRDefault="00143D00" w:rsidP="00AF4905">
            <w:pPr>
              <w:spacing w:before="0" w:after="0" w:line="240" w:lineRule="auto"/>
              <w:rPr>
                <w:sz w:val="20"/>
                <w:szCs w:val="20"/>
                <w:lang w:val="es-MX"/>
              </w:rPr>
            </w:pPr>
            <w:r w:rsidRPr="00AF4905">
              <w:rPr>
                <w:sz w:val="20"/>
                <w:szCs w:val="20"/>
                <w:lang w:val="es-MX"/>
              </w:rPr>
              <w:t>Transferencia</w:t>
            </w:r>
          </w:p>
        </w:tc>
        <w:tc>
          <w:tcPr>
            <w:tcW w:w="2098" w:type="dxa"/>
            <w:vAlign w:val="center"/>
            <w:hideMark/>
          </w:tcPr>
          <w:p w14:paraId="12A04D7A"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Pérdida de control o jurisdicción incierta</w:t>
            </w:r>
          </w:p>
        </w:tc>
        <w:tc>
          <w:tcPr>
            <w:tcW w:w="2098" w:type="dxa"/>
            <w:vAlign w:val="center"/>
            <w:hideMark/>
          </w:tcPr>
          <w:p w14:paraId="2AC8F133"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Contrato, cifrado y garantías</w:t>
            </w:r>
          </w:p>
        </w:tc>
        <w:tc>
          <w:tcPr>
            <w:tcW w:w="2098" w:type="dxa"/>
            <w:vAlign w:val="center"/>
            <w:hideMark/>
          </w:tcPr>
          <w:p w14:paraId="79DA0DFC"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Evaluación del proveedor</w:t>
            </w:r>
          </w:p>
        </w:tc>
      </w:tr>
      <w:tr w:rsidR="00143D00" w:rsidRPr="00143D00" w14:paraId="65A7A133" w14:textId="77777777" w:rsidTr="00AF49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12E59ED" w14:textId="77777777" w:rsidR="00143D00" w:rsidRPr="00AF4905" w:rsidRDefault="00143D00" w:rsidP="00AF4905">
            <w:pPr>
              <w:spacing w:before="0" w:after="0" w:line="240" w:lineRule="auto"/>
              <w:rPr>
                <w:sz w:val="20"/>
                <w:szCs w:val="20"/>
                <w:lang w:val="es-MX"/>
              </w:rPr>
            </w:pPr>
            <w:r w:rsidRPr="00AF4905">
              <w:rPr>
                <w:sz w:val="20"/>
                <w:szCs w:val="20"/>
                <w:lang w:val="es-MX"/>
              </w:rPr>
              <w:t>Conservación</w:t>
            </w:r>
          </w:p>
        </w:tc>
        <w:tc>
          <w:tcPr>
            <w:tcW w:w="2098" w:type="dxa"/>
            <w:vAlign w:val="center"/>
            <w:hideMark/>
          </w:tcPr>
          <w:p w14:paraId="4A3CBB67"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Retención indefinida y usos secundarios</w:t>
            </w:r>
          </w:p>
        </w:tc>
        <w:tc>
          <w:tcPr>
            <w:tcW w:w="2098" w:type="dxa"/>
            <w:vAlign w:val="center"/>
            <w:hideMark/>
          </w:tcPr>
          <w:p w14:paraId="16EE4440"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Plazos y eliminación verificable</w:t>
            </w:r>
          </w:p>
        </w:tc>
        <w:tc>
          <w:tcPr>
            <w:tcW w:w="2098" w:type="dxa"/>
            <w:vAlign w:val="center"/>
            <w:hideMark/>
          </w:tcPr>
          <w:p w14:paraId="4DBCF8F5" w14:textId="77777777" w:rsidR="00143D00" w:rsidRPr="00AF4905" w:rsidRDefault="00143D00" w:rsidP="00AF4905">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4905">
              <w:rPr>
                <w:sz w:val="20"/>
                <w:szCs w:val="20"/>
                <w:lang w:val="es-MX"/>
              </w:rPr>
              <w:t>Calendario y registro de eliminación</w:t>
            </w:r>
          </w:p>
        </w:tc>
      </w:tr>
      <w:tr w:rsidR="00143D00" w:rsidRPr="00143D00" w14:paraId="49E9A668" w14:textId="77777777" w:rsidTr="00AF4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AE00554" w14:textId="77777777" w:rsidR="00143D00" w:rsidRPr="00AF4905" w:rsidRDefault="00143D00" w:rsidP="00AF4905">
            <w:pPr>
              <w:spacing w:before="0" w:after="0" w:line="240" w:lineRule="auto"/>
              <w:rPr>
                <w:sz w:val="20"/>
                <w:szCs w:val="20"/>
                <w:lang w:val="es-MX"/>
              </w:rPr>
            </w:pPr>
            <w:r w:rsidRPr="00AF4905">
              <w:rPr>
                <w:sz w:val="20"/>
                <w:szCs w:val="20"/>
                <w:lang w:val="es-MX"/>
              </w:rPr>
              <w:t>Incidente</w:t>
            </w:r>
          </w:p>
        </w:tc>
        <w:tc>
          <w:tcPr>
            <w:tcW w:w="2098" w:type="dxa"/>
            <w:vAlign w:val="center"/>
            <w:hideMark/>
          </w:tcPr>
          <w:p w14:paraId="2F39659F"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Exposición, alteración o indisponibilidad</w:t>
            </w:r>
          </w:p>
        </w:tc>
        <w:tc>
          <w:tcPr>
            <w:tcW w:w="2098" w:type="dxa"/>
            <w:vAlign w:val="center"/>
            <w:hideMark/>
          </w:tcPr>
          <w:p w14:paraId="47FC5336"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Contención, comunicación y reparación</w:t>
            </w:r>
          </w:p>
        </w:tc>
        <w:tc>
          <w:tcPr>
            <w:tcW w:w="2098" w:type="dxa"/>
            <w:vAlign w:val="center"/>
            <w:hideMark/>
          </w:tcPr>
          <w:p w14:paraId="36111F47" w14:textId="77777777" w:rsidR="00143D00" w:rsidRPr="00AF4905" w:rsidRDefault="00143D00" w:rsidP="00AF4905">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4905">
              <w:rPr>
                <w:sz w:val="20"/>
                <w:szCs w:val="20"/>
                <w:lang w:val="es-MX"/>
              </w:rPr>
              <w:t>Plan, bitácora y acciones correctivas</w:t>
            </w:r>
          </w:p>
        </w:tc>
      </w:tr>
    </w:tbl>
    <w:p w14:paraId="23A1C5CA" w14:textId="77777777" w:rsidR="00143D00" w:rsidRPr="00143D00" w:rsidRDefault="00143D00" w:rsidP="00143D00">
      <w:pPr>
        <w:rPr>
          <w:lang w:val="es-MX"/>
        </w:rPr>
      </w:pPr>
      <w:r w:rsidRPr="00143D00">
        <w:rPr>
          <w:i/>
          <w:iCs/>
          <w:lang w:val="es-MX"/>
        </w:rPr>
        <w:t>Fuente: elaboración propia a partir de las referencias citadas en el apartado.</w:t>
      </w:r>
    </w:p>
    <w:p w14:paraId="102DA057" w14:textId="5488F945" w:rsidR="00143D00" w:rsidRPr="00143D00" w:rsidRDefault="00143D00" w:rsidP="00CF3C6A">
      <w:pPr>
        <w:pStyle w:val="Ttulo3"/>
        <w:rPr>
          <w:lang w:val="es-MX"/>
        </w:rPr>
      </w:pPr>
      <w:bookmarkStart w:id="106" w:name="_Toc239440963"/>
      <w:r w:rsidRPr="00143D00">
        <w:rPr>
          <w:lang w:val="es-MX"/>
        </w:rPr>
        <w:lastRenderedPageBreak/>
        <w:t>Inventario, clasificación, seudonimización y datos generativos</w:t>
      </w:r>
      <w:bookmarkEnd w:id="106"/>
    </w:p>
    <w:p w14:paraId="416CE7CC" w14:textId="77777777" w:rsidR="00143D00" w:rsidRPr="00143D00" w:rsidRDefault="00143D00" w:rsidP="00143D00">
      <w:pPr>
        <w:rPr>
          <w:lang w:val="es-MX"/>
        </w:rPr>
      </w:pPr>
      <w:r w:rsidRPr="00143D00">
        <w:rPr>
          <w:lang w:val="es-MX"/>
        </w:rPr>
        <w:t>El inventario de datos permite saber qué posee la universidad y dónde circula. Registra categorías, finalidades, bases, responsables, destinatarios, ubicaciones, retención y controles. También incluye datos enviados a modelos externos mediante integraciones o uso individual autorizado. Sin inventario, la institución no puede atender derechos ni responder con rapidez a un incidente. La actualización debe integrarse a compras y cambios de sistema. Los mapas de flujo revelan copias innecesarias y transferencias invisibles (NIST, 2020; OECD, 2023).</w:t>
      </w:r>
    </w:p>
    <w:p w14:paraId="0A054DD0" w14:textId="77777777" w:rsidR="00143D00" w:rsidRPr="00143D00" w:rsidRDefault="00143D00" w:rsidP="00143D00">
      <w:pPr>
        <w:rPr>
          <w:lang w:val="es-MX"/>
        </w:rPr>
      </w:pPr>
      <w:r w:rsidRPr="00143D00">
        <w:rPr>
          <w:lang w:val="es-MX"/>
        </w:rPr>
        <w:t xml:space="preserve">La clasificación ayuda a aplicar controles proporcionales. Datos públicos, internos, confidenciales y especialmente sensibles no requieren idéntico tratamiento. Información de salud, discapacidad, biometría, disciplina o situación socioeconómica puede causar daños graves si se expone o interpreta fuera de contexto. La etiqueta debe viajar con el dato y orientar acceso, cifrado, transferencia y eliminación. Clasificar no autoriza usar. La finalidad y los derechos siguen siendo necesarios, incluso cuando la seguridad técnica es alta (Asamblea Nacional del Ecuador, 2021; </w:t>
      </w:r>
      <w:proofErr w:type="spellStart"/>
      <w:r w:rsidRPr="00143D00">
        <w:rPr>
          <w:lang w:val="es-MX"/>
        </w:rPr>
        <w:t>Solove</w:t>
      </w:r>
      <w:proofErr w:type="spellEnd"/>
      <w:r w:rsidRPr="00143D00">
        <w:rPr>
          <w:lang w:val="es-MX"/>
        </w:rPr>
        <w:t>, 2006).</w:t>
      </w:r>
    </w:p>
    <w:p w14:paraId="0886C9BB" w14:textId="77777777" w:rsidR="00143D00" w:rsidRPr="00143D00" w:rsidRDefault="00143D00" w:rsidP="00143D00">
      <w:pPr>
        <w:rPr>
          <w:lang w:val="es-MX"/>
        </w:rPr>
      </w:pPr>
      <w:r w:rsidRPr="00143D00">
        <w:rPr>
          <w:lang w:val="es-MX"/>
        </w:rPr>
        <w:t xml:space="preserve">La seudonimización reemplaza identificadores directos por claves separadas, pero no vuelve anónimos los datos. La combinación de programa, edad, horario o trayectoria puede permitir </w:t>
      </w:r>
      <w:proofErr w:type="spellStart"/>
      <w:r w:rsidRPr="00143D00">
        <w:rPr>
          <w:lang w:val="es-MX"/>
        </w:rPr>
        <w:t>reidentificación</w:t>
      </w:r>
      <w:proofErr w:type="spellEnd"/>
      <w:r w:rsidRPr="00143D00">
        <w:rPr>
          <w:lang w:val="es-MX"/>
        </w:rPr>
        <w:t xml:space="preserve">, especialmente en grupos pequeños. La anonimización requiere evaluar razonablemente medios disponibles y riesgo de enlace. Publicar conjuntos abiertos o enviarlos a proveedores demanda cautela. Los informes deben evitar celdas pequeñas y detalles innecesarios. Presentar una base como anónima sin demostrarlo crea una falsa sensación de seguridad (NIST, 2020; </w:t>
      </w:r>
      <w:proofErr w:type="spellStart"/>
      <w:r w:rsidRPr="00143D00">
        <w:rPr>
          <w:lang w:val="es-MX"/>
        </w:rPr>
        <w:t>Solove</w:t>
      </w:r>
      <w:proofErr w:type="spellEnd"/>
      <w:r w:rsidRPr="00143D00">
        <w:rPr>
          <w:lang w:val="es-MX"/>
        </w:rPr>
        <w:t>, 2006).</w:t>
      </w:r>
    </w:p>
    <w:p w14:paraId="35F5C202" w14:textId="77777777" w:rsidR="00143D00" w:rsidRPr="00143D00" w:rsidRDefault="00143D00" w:rsidP="00143D00">
      <w:pPr>
        <w:rPr>
          <w:lang w:val="es-MX"/>
        </w:rPr>
      </w:pPr>
      <w:r w:rsidRPr="00143D00">
        <w:rPr>
          <w:lang w:val="es-MX"/>
        </w:rPr>
        <w:t>Los modelos generativos pueden memorizar, inferir o revelar información. Introducir nombres, expedientes, historias clínicas, exámenes inéditos o datos de investigación en una interfaz pública puede transferirlos fuera del control institucional. Las políticas deben definir categorías que nunca se cargan, entornos aprobados y procedimientos para casos legítimos. Las configuraciones que excluyen entrenamiento reducen algunos riesgos, pero no sustituyen contrato, seguridad y minimización. El usuario necesita advertencias dentro del flujo de trabajo y no solo durante una capacitación anual (Autio et al., 2024; Miao &amp; Holmes, 2023).</w:t>
      </w:r>
    </w:p>
    <w:p w14:paraId="30208D9C" w14:textId="0A9A722A" w:rsidR="00143D00" w:rsidRPr="00143D00" w:rsidRDefault="00143D00" w:rsidP="00920C86">
      <w:pPr>
        <w:pStyle w:val="Ttulo3"/>
        <w:rPr>
          <w:lang w:val="es-MX"/>
        </w:rPr>
      </w:pPr>
      <w:bookmarkStart w:id="107" w:name="_Toc239440964"/>
      <w:r w:rsidRPr="00143D00">
        <w:rPr>
          <w:lang w:val="es-MX"/>
        </w:rPr>
        <w:t>Proveedores, transferencias, seguridad y control de acceso</w:t>
      </w:r>
      <w:bookmarkEnd w:id="107"/>
    </w:p>
    <w:p w14:paraId="6BE56D11" w14:textId="77777777" w:rsidR="00143D00" w:rsidRPr="00143D00" w:rsidRDefault="00143D00" w:rsidP="00143D00">
      <w:pPr>
        <w:rPr>
          <w:lang w:val="es-MX"/>
        </w:rPr>
      </w:pPr>
      <w:r w:rsidRPr="00143D00">
        <w:rPr>
          <w:lang w:val="es-MX"/>
        </w:rPr>
        <w:t xml:space="preserve">La contratación con proveedores debe especificar roles y responsabilidades. El acuerdo define instrucciones de tratamiento, confidencialidad, subcontratación, ubicación, transferencias, seguridad, incidentes, auditoría, devolución y eliminación. También limita entrenamiento y mejora de productos con datos institucionales. La universidad examina cambios unilaterales de condiciones y conserva capacidad de salida. Un sello comercial o una afirmación de cumplimiento </w:t>
      </w:r>
      <w:r w:rsidRPr="00143D00">
        <w:rPr>
          <w:lang w:val="es-MX"/>
        </w:rPr>
        <w:lastRenderedPageBreak/>
        <w:t>no reemplaza evidencia. La diligencia debe continuar durante toda la relación y no terminar al firmar (OECD, 2023; NIST, 2020).</w:t>
      </w:r>
    </w:p>
    <w:p w14:paraId="5B960562" w14:textId="77777777" w:rsidR="00143D00" w:rsidRPr="00143D00" w:rsidRDefault="00143D00" w:rsidP="00143D00">
      <w:pPr>
        <w:rPr>
          <w:lang w:val="es-MX"/>
        </w:rPr>
      </w:pPr>
      <w:r w:rsidRPr="00143D00">
        <w:rPr>
          <w:lang w:val="es-MX"/>
        </w:rPr>
        <w:t>Las transferencias internacionales requieren conocer jurisdicciones y garantías. Un servicio en la nube puede mover datos entre centros y subcontratistas. La institución debe verificar mecanismos aplicables, documentar destinatarios y comunicar cuando corresponda. Si no puede identificar la ruta, no puede evaluar riesgos ni responder solicitudes. La localización por sí sola tampoco garantiza protección, porque importan acceso, gobernanza y seguridad. La decisión combina requisitos normativos, sensibilidad, necesidad y capacidad contractual (Asamblea Nacional del Ecuador, 2021; Presidencia de la República del Ecuador, 2023).</w:t>
      </w:r>
    </w:p>
    <w:p w14:paraId="25596322" w14:textId="77777777" w:rsidR="00143D00" w:rsidRPr="00143D00" w:rsidRDefault="00143D00" w:rsidP="00143D00">
      <w:pPr>
        <w:rPr>
          <w:lang w:val="es-MX"/>
        </w:rPr>
      </w:pPr>
      <w:r w:rsidRPr="00143D00">
        <w:rPr>
          <w:lang w:val="es-MX"/>
        </w:rPr>
        <w:t>La seguridad protege confidencialidad, integridad y disponibilidad. Incluye autenticación, privilegio mínimo, cifrado, registros, segmentación, actualización, respaldo y pruebas. Los modelos añaden amenazas como instrucciones maliciosas, extracción de datos, envenenamiento y dependencia de componentes. Los controles se ajustan al riesgo y se prueban en condiciones reales. Una herramienta precisa pero insegura no es confiable. La seguridad también comprende continuidad, porque perder acceso a expedientes o servicios puede perjudicar derechos y aprendizaje (Autio et al., 2024; Tabassi, 2023).</w:t>
      </w:r>
    </w:p>
    <w:p w14:paraId="713CE3B8" w14:textId="77777777" w:rsidR="00143D00" w:rsidRPr="00143D00" w:rsidRDefault="00143D00" w:rsidP="00143D00">
      <w:pPr>
        <w:rPr>
          <w:lang w:val="es-MX"/>
        </w:rPr>
      </w:pPr>
      <w:r w:rsidRPr="00143D00">
        <w:rPr>
          <w:lang w:val="es-MX"/>
        </w:rPr>
        <w:t xml:space="preserve">El control de acceso se basa en funciones y necesidad. Que una persona trabaje en la universidad no significa que deba consultar todo expediente. Los permisos se revisan al cambiar de cargo y se eliminan al finalizar la relación. Las cuentas compartidas impiden trazabilidad. Las consultas sensibles pueden requerir justificación adicional y alertas. Sin embargo, la vigilancia del </w:t>
      </w:r>
      <w:proofErr w:type="spellStart"/>
      <w:r w:rsidRPr="00143D00">
        <w:rPr>
          <w:lang w:val="es-MX"/>
        </w:rPr>
        <w:t>personal</w:t>
      </w:r>
      <w:proofErr w:type="spellEnd"/>
      <w:r w:rsidRPr="00143D00">
        <w:rPr>
          <w:lang w:val="es-MX"/>
        </w:rPr>
        <w:t xml:space="preserve"> también debe ser proporcional. Los registros se utilizan para seguridad y auditoría, con reglas que eviten convertirlos en instrumentos de observación permanente (NIST, 2020; UNESCO, 2021).</w:t>
      </w:r>
    </w:p>
    <w:p w14:paraId="47F8F7EA" w14:textId="77777777" w:rsidR="00143D00" w:rsidRPr="00143D00" w:rsidRDefault="00143D00" w:rsidP="00143D00">
      <w:pPr>
        <w:rPr>
          <w:lang w:val="es-MX"/>
        </w:rPr>
      </w:pPr>
      <w:r w:rsidRPr="00143D00">
        <w:rPr>
          <w:lang w:val="es-MX"/>
        </w:rPr>
        <w:t>La retención debe responder a propósito, obligación y valor institucional. Conservar indefinidamente porque el almacenamiento es barato aumenta riesgo y facilita usos incompatibles. Cada categoría tiene plazo, responsable y método de eliminación. Los respaldos y copias derivadas se incluyen. Cuando una controversia exige preservación, se documenta la excepción. Los datos usados para entrenar o ajustar un modelo plantean una dificultad adicional, por lo que la decisión de incorporarlos debe ser especialmente restrictiva y prever la posibilidad real de retiro (Asamblea Nacional del Ecuador, 2021; Autio et al., 2024).</w:t>
      </w:r>
    </w:p>
    <w:p w14:paraId="354B9F67" w14:textId="5BF1B799" w:rsidR="00143D00" w:rsidRPr="00143D00" w:rsidRDefault="00143D00" w:rsidP="00920C86">
      <w:pPr>
        <w:pStyle w:val="Ttulo3"/>
        <w:rPr>
          <w:lang w:val="es-MX"/>
        </w:rPr>
      </w:pPr>
      <w:bookmarkStart w:id="108" w:name="_Toc239440965"/>
      <w:r w:rsidRPr="00143D00">
        <w:rPr>
          <w:lang w:val="es-MX"/>
        </w:rPr>
        <w:t>Derechos, incidentes, investigación y gobernanza de privacidad</w:t>
      </w:r>
      <w:bookmarkEnd w:id="108"/>
    </w:p>
    <w:p w14:paraId="312F12A1" w14:textId="77777777" w:rsidR="00143D00" w:rsidRPr="00143D00" w:rsidRDefault="00143D00" w:rsidP="00143D00">
      <w:pPr>
        <w:rPr>
          <w:lang w:val="es-MX"/>
        </w:rPr>
      </w:pPr>
      <w:r w:rsidRPr="00143D00">
        <w:rPr>
          <w:lang w:val="es-MX"/>
        </w:rPr>
        <w:t xml:space="preserve">Los derechos de acceso, rectificación, actualización, eliminación u oposición, según corresponda, requieren canales visibles. La respuesta debe abarcar sistemas conectados y proveedores, no solo la base principal. Cuando una decisión se apoya en información incorrecta, la rectificación necesita propagarse y sus efectos revisarse. Los plazos, responsables y excepciones se documentan. Una interfaz de autoservicio puede facilitar solicitudes, pero debe existir apoyo </w:t>
      </w:r>
      <w:r w:rsidRPr="00143D00">
        <w:rPr>
          <w:lang w:val="es-MX"/>
        </w:rPr>
        <w:lastRenderedPageBreak/>
        <w:t>humano para casos complejos y para personas con barreras digitales (Asamblea Nacional del Ecuador, 2021; CAST, 2024).</w:t>
      </w:r>
    </w:p>
    <w:p w14:paraId="75EA66A7" w14:textId="77777777" w:rsidR="00143D00" w:rsidRPr="00143D00" w:rsidRDefault="00143D00" w:rsidP="00143D00">
      <w:pPr>
        <w:rPr>
          <w:lang w:val="es-MX"/>
        </w:rPr>
      </w:pPr>
      <w:r w:rsidRPr="00143D00">
        <w:rPr>
          <w:lang w:val="es-MX"/>
        </w:rPr>
        <w:t>La respuesta a incidentes comienza antes del evento. Se definen responsables, canales, criterios de severidad, preservación de evidencia, contención y comunicación. Una filtración puede originarse en ataque, error humano, proveedor o salida generativa. La notificación debe cumplir reglas aplicables y ofrecer información útil, sin ocultar incertidumbre. Después se investigan causas, se reparan controles y se acompaña a afectados. Culpar automáticamente al usuario impide aprender sobre fallas de diseño y cultura (NIST, 2020; Presidencia de la República del Ecuador, 2023).</w:t>
      </w:r>
    </w:p>
    <w:p w14:paraId="3C710F67" w14:textId="77777777" w:rsidR="00143D00" w:rsidRPr="00143D00" w:rsidRDefault="00143D00" w:rsidP="00143D00">
      <w:pPr>
        <w:rPr>
          <w:lang w:val="es-MX"/>
        </w:rPr>
      </w:pPr>
      <w:r w:rsidRPr="00143D00">
        <w:rPr>
          <w:lang w:val="es-MX"/>
        </w:rPr>
        <w:t>La investigación universitaria plantea necesidades específicas. Datos de participantes, manuscritos, revisiones y propiedad intelectual pueden estar sujetos a consentimiento, secreto o acuerdos. Un investigador no debe cargar información identificable en una herramienta externa sin autorización y evaluación. Los comités de ética necesitan actualizar protocolos para usos de inteligencia artificial, incluidos transcripción, traducción y análisis. La reproducibilidad no exige publicar datos personales. Puede lograrse con documentación, datos sintéticos adecuados, acceso controlado y código cuando sea pertinente (UNESCO, 2021; Miao &amp; Holmes, 2023).</w:t>
      </w:r>
    </w:p>
    <w:p w14:paraId="5868AA46" w14:textId="77777777" w:rsidR="00143D00" w:rsidRPr="00143D00" w:rsidRDefault="00143D00" w:rsidP="00143D00">
      <w:pPr>
        <w:rPr>
          <w:lang w:val="es-MX"/>
        </w:rPr>
      </w:pPr>
      <w:r w:rsidRPr="00143D00">
        <w:rPr>
          <w:lang w:val="es-MX"/>
        </w:rPr>
        <w:t xml:space="preserve">La formación en privacidad debe ser situada. Los ejemplos diferencian enviar una política pública, resumir un expediente y analizar una base </w:t>
      </w:r>
      <w:proofErr w:type="spellStart"/>
      <w:r w:rsidRPr="00143D00">
        <w:rPr>
          <w:lang w:val="es-MX"/>
        </w:rPr>
        <w:t>seudonimizada</w:t>
      </w:r>
      <w:proofErr w:type="spellEnd"/>
      <w:r w:rsidRPr="00143D00">
        <w:rPr>
          <w:lang w:val="es-MX"/>
        </w:rPr>
        <w:t>. Docentes, estudiantes, investigadores y administrativos enfrentan riesgos distintos. Las orientaciones se integran a plataformas y procesos, acompañadas de consultas rápidas. También se evalúa comprensión mediante situaciones, no solo aceptación de un documento. Una cultura de privacidad convierte la protección en una práctica cotidiana y compartida, con apoyo de especialistas y liderazgo visible (NIST, 2020; UNESCO, 2021).</w:t>
      </w:r>
    </w:p>
    <w:p w14:paraId="425920B0" w14:textId="77777777" w:rsidR="00143D00" w:rsidRDefault="00143D00" w:rsidP="00143D00">
      <w:pPr>
        <w:rPr>
          <w:lang w:val="es-MX"/>
        </w:rPr>
      </w:pPr>
      <w:r w:rsidRPr="00143D00">
        <w:rPr>
          <w:lang w:val="es-MX"/>
        </w:rPr>
        <w:t>La gobernanza de privacidad se evalúa con indicadores significativos, como inventarios actualizados, solicitudes atendidas, accesos indebidos, tiempo de contención, proveedores revisados y medidas aplicadas. Contar capacitaciones no demuestra cambio. Los resultados se interpretan con contexto y se comunican de forma agregada. Auditorías independientes pueden aportar confianza, pero la institución conserva responsabilidad. La mejora continua revisa nuevas finalidades, amenazas y expectativas. Proteger datos no impide innovación, establece condiciones para que sea legítima y sostenible (Superintendencia de Protección de Datos Personales, 2025; OECD, 2023).</w:t>
      </w:r>
    </w:p>
    <w:p w14:paraId="25FD6BC7" w14:textId="6C4F60B3" w:rsidR="00625155" w:rsidRPr="00143D00" w:rsidRDefault="00625155" w:rsidP="00143D00">
      <w:pPr>
        <w:rPr>
          <w:lang w:val="es-MX"/>
        </w:rPr>
      </w:pPr>
    </w:p>
    <w:p w14:paraId="7047D0EF" w14:textId="224E6D6C" w:rsidR="00143D00" w:rsidRPr="00143D00" w:rsidRDefault="00143D00" w:rsidP="00920C86">
      <w:pPr>
        <w:pStyle w:val="Ttulo2"/>
        <w:rPr>
          <w:lang w:val="es-MX"/>
        </w:rPr>
      </w:pPr>
      <w:bookmarkStart w:id="109" w:name="_Toc239440966"/>
      <w:r w:rsidRPr="00143D00">
        <w:rPr>
          <w:lang w:val="es-MX"/>
        </w:rPr>
        <w:lastRenderedPageBreak/>
        <w:t>Sesgos y discriminación algorítmica</w:t>
      </w:r>
      <w:bookmarkEnd w:id="109"/>
    </w:p>
    <w:p w14:paraId="0E27483B" w14:textId="08FCC640" w:rsidR="00143D00" w:rsidRPr="00143D00" w:rsidRDefault="00143D00" w:rsidP="00FD37AF">
      <w:pPr>
        <w:pStyle w:val="Ttulo3"/>
        <w:rPr>
          <w:lang w:val="es-MX"/>
        </w:rPr>
      </w:pPr>
      <w:bookmarkStart w:id="110" w:name="_Toc239440967"/>
      <w:r w:rsidRPr="00143D00">
        <w:rPr>
          <w:lang w:val="es-MX"/>
        </w:rPr>
        <w:t>Orígenes sociales, representación y medición del sesgo</w:t>
      </w:r>
      <w:bookmarkEnd w:id="110"/>
    </w:p>
    <w:p w14:paraId="140AA606" w14:textId="77777777" w:rsidR="00143D00" w:rsidRPr="00143D00" w:rsidRDefault="00143D00" w:rsidP="00143D00">
      <w:pPr>
        <w:rPr>
          <w:lang w:val="es-MX"/>
        </w:rPr>
      </w:pPr>
      <w:r w:rsidRPr="00143D00">
        <w:rPr>
          <w:lang w:val="es-MX"/>
        </w:rPr>
        <w:t>El sesgo algorítmico describe patrones sistemáticos que favorecen o perjudican a determinadas personas o grupos. Puede originarse en decisiones sociales, datos históricos, mediciones, etiquetas, objetivos, arquitectura, interfaz o contexto de uso. No es únicamente un error de programación. Un sistema puede alcanzar alta precisión promedio y distribuir sus fallos de manera injusta. En educación superior, estos problemas pueden afectar admisión, becas, alertas, evaluación, contratación, investigación y servicios. Analizar sesgo exige observar el sistema sociotécnico completo y las consecuencias reales de una decisión (Baker &amp; Hawn, 2022; Selbst et al., 2019).</w:t>
      </w:r>
    </w:p>
    <w:p w14:paraId="778FFC8F" w14:textId="77777777" w:rsidR="00143D00" w:rsidRPr="00143D00" w:rsidRDefault="00143D00" w:rsidP="00143D00">
      <w:pPr>
        <w:rPr>
          <w:lang w:val="es-MX"/>
        </w:rPr>
      </w:pPr>
      <w:r w:rsidRPr="00143D00">
        <w:rPr>
          <w:lang w:val="es-MX"/>
        </w:rPr>
        <w:t>Los datos históricos reflejan instituciones y sociedades desiguales. Si un modelo aprende quién fue admitido, promovido o sancionado, puede reproducir patrones producidos por barreras anteriores. El pasado no se convierte en criterio legítimo por estar registrado. Antes de entrenar, la universidad debe preguntar qué proceso generó cada variable, quién quedó fuera y qué decisiones influyeron. Corregir algunos valores sin revisar la finalidad puede mantener el problema. Los datos necesitan interpretación histórica, institucional y cultural (Crawford, 2021; Noble, 2018).</w:t>
      </w:r>
    </w:p>
    <w:p w14:paraId="69D8E59E" w14:textId="77777777" w:rsidR="00143D00" w:rsidRPr="00143D00" w:rsidRDefault="00143D00" w:rsidP="00143D00">
      <w:pPr>
        <w:rPr>
          <w:lang w:val="es-MX"/>
        </w:rPr>
      </w:pPr>
      <w:r w:rsidRPr="00143D00">
        <w:rPr>
          <w:lang w:val="es-MX"/>
        </w:rPr>
        <w:t>El sesgo de representación aparece cuando la muestra no incluye suficientemente a las poblaciones que usarán o sufrirán el sistema. Un modelo entrenado con textos de determinadas regiones puede comprender peor variedades del español, lenguas indígenas o expresiones disciplinares. Una herramienta visual puede rendir de forma diferente según tono de piel, iluminación o dispositivo. La validación debe incluir grupos relevantes y condiciones reales. Cuando la muestra es pequeña, la incertidumbre se declara y el uso se limita, en lugar de ocultarla bajo una métrica general (Buolamwini &amp; Gebru, 2018; Bender et al., 2021).</w:t>
      </w:r>
    </w:p>
    <w:p w14:paraId="40EDDF5A" w14:textId="77777777" w:rsidR="00143D00" w:rsidRPr="00143D00" w:rsidRDefault="00143D00" w:rsidP="00143D00">
      <w:pPr>
        <w:rPr>
          <w:lang w:val="es-MX"/>
        </w:rPr>
      </w:pPr>
      <w:r w:rsidRPr="00143D00">
        <w:rPr>
          <w:lang w:val="es-MX"/>
        </w:rPr>
        <w:t>El sesgo de medición surge cuando una variable no representa adecuadamente el concepto. Utilizar conexión a la plataforma como sinónimo de compromiso ignora lectura fuera de línea, trabajo, cuidado y problemas de acceso. Usar promedio como medida única de potencial confunde desempeño previo con oportunidad. Las variables sustitutas pueden parecer objetivas y contener desigualdad. La institución debe justificar relación conceptual, calidad y pertinencia de cada dato. La disponibilidad no convierte una señal en evidencia válida (Baker &amp; Hawn, 2022; O'Neil, 2016).</w:t>
      </w:r>
    </w:p>
    <w:p w14:paraId="009E4A54" w14:textId="70DA7F9E" w:rsidR="00143D00" w:rsidRPr="00143D00" w:rsidRDefault="00143D00" w:rsidP="00FD37AF">
      <w:pPr>
        <w:pStyle w:val="Ttulo3"/>
        <w:rPr>
          <w:lang w:val="es-MX"/>
        </w:rPr>
      </w:pPr>
      <w:bookmarkStart w:id="111" w:name="_Toc239440968"/>
      <w:r w:rsidRPr="00143D00">
        <w:rPr>
          <w:lang w:val="es-MX"/>
        </w:rPr>
        <w:t>Etiquetas, objetivos, discriminación y métricas de equidad</w:t>
      </w:r>
      <w:bookmarkEnd w:id="111"/>
    </w:p>
    <w:p w14:paraId="539628B2" w14:textId="77777777" w:rsidR="00143D00" w:rsidRPr="00143D00" w:rsidRDefault="00143D00" w:rsidP="00143D00">
      <w:pPr>
        <w:rPr>
          <w:lang w:val="es-MX"/>
        </w:rPr>
      </w:pPr>
      <w:r w:rsidRPr="00143D00">
        <w:rPr>
          <w:lang w:val="es-MX"/>
        </w:rPr>
        <w:t xml:space="preserve">Las etiquetas también incorporan juicio. Categorías como riesgo, éxito, participación o conducta problemática dependen de definiciones y personas que clasifican. Si las decisiones previas fueron </w:t>
      </w:r>
      <w:r w:rsidRPr="00143D00">
        <w:rPr>
          <w:lang w:val="es-MX"/>
        </w:rPr>
        <w:lastRenderedPageBreak/>
        <w:t>inconsistentes, el modelo aprende esa inconsistencia. La documentación debe explicar quién etiquetó, con qué instrucciones y cómo se resolvieron desacuerdos. Conviene revisar casos fronterizos y permitir que personas afectadas cuestionen la categoría. Una etiqueta útil para intervención no debe transformarse en identidad permanente ni circular fuera de su contexto (Selbst et al., 2019; Slade &amp; Prinsloo, 2013).</w:t>
      </w:r>
    </w:p>
    <w:p w14:paraId="42A406A3" w14:textId="77777777" w:rsidR="00143D00" w:rsidRPr="00143D00" w:rsidRDefault="00143D00" w:rsidP="00143D00">
      <w:pPr>
        <w:rPr>
          <w:lang w:val="es-MX"/>
        </w:rPr>
      </w:pPr>
      <w:r w:rsidRPr="00143D00">
        <w:rPr>
          <w:lang w:val="es-MX"/>
        </w:rPr>
        <w:t>El objetivo matemático determina qué se optimiza. Maximizar retención puede incentivar intervenciones intrusivas o priorizar estudiantes con mayor probabilidad de responder. Minimizar tiempo administrativo puede reducir oportunidades de explicar una excepción. La universidad necesita traducir valores en restricciones, no solo en declaraciones. Esto puede incluir pisos de servicio, revisión obligatoria, prohibición de ciertas variables y costos diferenciados de error. Ninguna función objetivo representa por sí sola la misión universitaria, que requiere deliberación y equilibrio (O'Neil, 2016; Tabassi, 2023).</w:t>
      </w:r>
    </w:p>
    <w:p w14:paraId="299F7594" w14:textId="77777777" w:rsidR="00143D00" w:rsidRPr="00143D00" w:rsidRDefault="00143D00" w:rsidP="00143D00">
      <w:pPr>
        <w:rPr>
          <w:lang w:val="es-MX"/>
        </w:rPr>
      </w:pPr>
      <w:r w:rsidRPr="00143D00">
        <w:rPr>
          <w:lang w:val="es-MX"/>
        </w:rPr>
        <w:t>La discriminación algorítmica ocurre cuando un sistema contribuye a un trato perjudicial relacionado con características protegidas o situaciones de vulnerabilidad. Puede ser directa, si utiliza una característica, o indirecta, si emplea variables asociadas. Eliminar campos sensibles no garantiza equidad, porque código postal, escuela de origen o patrones de lenguaje pueden actuar como sustitutos. A veces se necesitan datos protegidos para auditar resultados, con controles estrictos. La decisión sobre recopilarlos debe equilibrar diagnóstico de desigualdad y riesgo de exposición (Baker &amp; Hawn, 2022; Citron &amp; Pasquale, 2014).</w:t>
      </w:r>
    </w:p>
    <w:p w14:paraId="656E8ADA" w14:textId="77777777" w:rsidR="00143D00" w:rsidRDefault="00143D00" w:rsidP="00143D00">
      <w:pPr>
        <w:rPr>
          <w:lang w:val="es-MX"/>
        </w:rPr>
      </w:pPr>
      <w:r w:rsidRPr="00143D00">
        <w:rPr>
          <w:lang w:val="es-MX"/>
        </w:rPr>
        <w:t>Las métricas de equidad permiten comparar tasas de selección, error, calibración u otros resultados entre grupos. Sin embargo, distintas definiciones pueden ser incompatibles y ninguna determina qué es justo en cada contexto. La selección depende del daño que se busca evitar, la intervención y los derechos implicados. Un informe debe mostrar varias métricas, tamaños de muestra e incertidumbre. La decisión final requiere razones normativas y participación, no una elección automática de la cifra que favorece al sistema (Selbst et al., 2019; Tabassi, 2023).</w:t>
      </w:r>
    </w:p>
    <w:p w14:paraId="21ECFFFB" w14:textId="16EEBC9C" w:rsidR="0083019A" w:rsidRPr="00143D00" w:rsidRDefault="0029173A" w:rsidP="00143D00">
      <w:pPr>
        <w:rPr>
          <w:lang w:val="es-MX"/>
        </w:rPr>
      </w:pPr>
      <w:r>
        <w:rPr>
          <w:noProof/>
          <w:lang w:val="es-MX"/>
        </w:rPr>
        <w:lastRenderedPageBreak/>
        <w:drawing>
          <wp:inline distT="0" distB="0" distL="0" distR="0" wp14:anchorId="2803ADEB" wp14:editId="5FC67221">
            <wp:extent cx="5400675" cy="3600450"/>
            <wp:effectExtent l="0" t="0" r="9525" b="0"/>
            <wp:docPr id="199149195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5CD1B019" w14:textId="4B1C0202" w:rsidR="00143D00" w:rsidRPr="00143D00" w:rsidRDefault="00143D00" w:rsidP="00FD37AF">
      <w:pPr>
        <w:pStyle w:val="Ttulo3"/>
        <w:rPr>
          <w:lang w:val="es-MX"/>
        </w:rPr>
      </w:pPr>
      <w:bookmarkStart w:id="112" w:name="_Toc239440969"/>
      <w:r w:rsidRPr="00143D00">
        <w:rPr>
          <w:lang w:val="es-MX"/>
        </w:rPr>
        <w:t>Interseccionalidad, lenguaje, alucinaciones y accesibilidad</w:t>
      </w:r>
      <w:bookmarkEnd w:id="112"/>
    </w:p>
    <w:p w14:paraId="735DA64A" w14:textId="77777777" w:rsidR="00143D00" w:rsidRPr="00143D00" w:rsidRDefault="00143D00" w:rsidP="00143D00">
      <w:pPr>
        <w:rPr>
          <w:lang w:val="es-MX"/>
        </w:rPr>
      </w:pPr>
      <w:r w:rsidRPr="00143D00">
        <w:rPr>
          <w:lang w:val="es-MX"/>
        </w:rPr>
        <w:t>La interseccionalidad recuerda que las personas pertenecen simultáneamente a múltiples grupos. Un modelo puede parecer equitativo al comparar género y presentar fallos graves para mujeres indígenas de una región. Las auditorías deben explorar intersecciones relevantes sin crear celdas tan pequeñas que comprometan privacidad o produzcan estimaciones inestables. La investigación cualitativa ayuda a identificar experiencias que una tabla no muestra. La ausencia de diferencia estadística no prueba ausencia de daño, especialmente cuando la medición es limitada (UNESCO, 2021; Baker &amp; Hawn, 2022).</w:t>
      </w:r>
    </w:p>
    <w:p w14:paraId="6AC164B5" w14:textId="77777777" w:rsidR="00143D00" w:rsidRPr="00143D00" w:rsidRDefault="00143D00" w:rsidP="00143D00">
      <w:pPr>
        <w:rPr>
          <w:lang w:val="es-MX"/>
        </w:rPr>
      </w:pPr>
      <w:r w:rsidRPr="00143D00">
        <w:rPr>
          <w:lang w:val="es-MX"/>
        </w:rPr>
        <w:t>Los modelos lingüísticos generan estereotipos, omisiones y asociaciones presentes en sus datos y en decisiones de desarrollo. Pueden describir profesiones, nacionalidades, capacidades o conductas de forma desigual. Las instrucciones y filtros reducen algunos resultados, pero no eliminan el problema. El usuario debe revisar ejemplos, nombres, adjetivos y supuestos. En materiales docentes, una representación repetida influye en expectativas. La diversidad no se resuelve añadiendo personajes de manera superficial, sino evitando roles estereotipados y consultando contextos reales (Bender et al., 2021; Miao &amp; Holmes, 2023).</w:t>
      </w:r>
    </w:p>
    <w:p w14:paraId="18416F77" w14:textId="77777777" w:rsidR="00143D00" w:rsidRPr="00143D00" w:rsidRDefault="00143D00" w:rsidP="00143D00">
      <w:pPr>
        <w:rPr>
          <w:lang w:val="es-MX"/>
        </w:rPr>
      </w:pPr>
      <w:r w:rsidRPr="00143D00">
        <w:rPr>
          <w:lang w:val="es-MX"/>
        </w:rPr>
        <w:t xml:space="preserve">La alucinación puede relacionarse con sesgo cuando el sistema inventa hechos de manera desigual. Temas con menor presencia digital, instituciones pequeñas y autores de regiones subrepresentadas pueden recibir respuestas menos completas o exactas. Esto crea una forma de invisibilidad epistémica. Las fuentes locales, comunitarias y no digitalizadas no deben considerarse inexistentes. La universidad puede desarrollar repositorios confiables, recuperación </w:t>
      </w:r>
      <w:r w:rsidRPr="00143D00">
        <w:rPr>
          <w:lang w:val="es-MX"/>
        </w:rPr>
        <w:lastRenderedPageBreak/>
        <w:t xml:space="preserve">con documentos autorizados y procesos de verificación. También debe enseñar que la popularidad en los datos no equivale a relevancia ni verdad (Bender et al., 2021; </w:t>
      </w:r>
      <w:proofErr w:type="spellStart"/>
      <w:r w:rsidRPr="00143D00">
        <w:rPr>
          <w:lang w:val="es-MX"/>
        </w:rPr>
        <w:t>Association</w:t>
      </w:r>
      <w:proofErr w:type="spellEnd"/>
      <w:r w:rsidRPr="00143D00">
        <w:rPr>
          <w:lang w:val="es-MX"/>
        </w:rPr>
        <w:t xml:space="preserve"> </w:t>
      </w:r>
      <w:proofErr w:type="spellStart"/>
      <w:r w:rsidRPr="00143D00">
        <w:rPr>
          <w:lang w:val="es-MX"/>
        </w:rPr>
        <w:t>of</w:t>
      </w:r>
      <w:proofErr w:type="spellEnd"/>
      <w:r w:rsidRPr="00143D00">
        <w:rPr>
          <w:lang w:val="es-MX"/>
        </w:rPr>
        <w:t xml:space="preserve"> College and </w:t>
      </w:r>
      <w:proofErr w:type="spellStart"/>
      <w:r w:rsidRPr="00143D00">
        <w:rPr>
          <w:lang w:val="es-MX"/>
        </w:rPr>
        <w:t>Research</w:t>
      </w:r>
      <w:proofErr w:type="spellEnd"/>
      <w:r w:rsidRPr="00143D00">
        <w:rPr>
          <w:lang w:val="es-MX"/>
        </w:rPr>
        <w:t xml:space="preserve"> </w:t>
      </w:r>
      <w:proofErr w:type="spellStart"/>
      <w:r w:rsidRPr="00143D00">
        <w:rPr>
          <w:lang w:val="es-MX"/>
        </w:rPr>
        <w:t>Libraries</w:t>
      </w:r>
      <w:proofErr w:type="spellEnd"/>
      <w:r w:rsidRPr="00143D00">
        <w:rPr>
          <w:lang w:val="es-MX"/>
        </w:rPr>
        <w:t>, 2016).</w:t>
      </w:r>
    </w:p>
    <w:p w14:paraId="215DD770" w14:textId="77777777" w:rsidR="00143D00" w:rsidRPr="00143D00" w:rsidRDefault="00143D00" w:rsidP="00143D00">
      <w:pPr>
        <w:rPr>
          <w:lang w:val="es-MX"/>
        </w:rPr>
      </w:pPr>
      <w:r w:rsidRPr="00143D00">
        <w:rPr>
          <w:lang w:val="es-MX"/>
        </w:rPr>
        <w:t>La accesibilidad puede mejorar con inteligencia artificial, pero también introducir discriminación. Transcripción, lectura, descripción y adaptación permiten participar, mientras los errores pueden excluir a personas con habla, visión, audición o interacción diferentes. Las pruebas deben incluir usuarios con discapacidad y tecnologías de apoyo. No se retira una adaptación humana porque exista una función automática. La persona elige qué apoyo utilizar y conserva un canal para corregir. El diseño universal reduce barreras generales, pero no elimina la necesidad de ajustes individuales (CAST, 2024; UNESCO, 2023).</w:t>
      </w:r>
    </w:p>
    <w:p w14:paraId="281EA7CD" w14:textId="613E6079" w:rsidR="00143D00" w:rsidRPr="00143D00" w:rsidRDefault="00143D00" w:rsidP="00FD37AF">
      <w:pPr>
        <w:pStyle w:val="Ttulo3"/>
        <w:rPr>
          <w:lang w:val="es-MX"/>
        </w:rPr>
      </w:pPr>
      <w:bookmarkStart w:id="113" w:name="_Toc239440970"/>
      <w:r w:rsidRPr="00143D00">
        <w:rPr>
          <w:lang w:val="es-MX"/>
        </w:rPr>
        <w:t>Vigilancia, selección, alertas y retroalimentación</w:t>
      </w:r>
      <w:bookmarkEnd w:id="113"/>
    </w:p>
    <w:p w14:paraId="3B181B38" w14:textId="77777777" w:rsidR="00143D00" w:rsidRPr="00143D00" w:rsidRDefault="00143D00" w:rsidP="00143D00">
      <w:pPr>
        <w:rPr>
          <w:lang w:val="es-MX"/>
        </w:rPr>
      </w:pPr>
      <w:r w:rsidRPr="00143D00">
        <w:rPr>
          <w:lang w:val="es-MX"/>
        </w:rPr>
        <w:t>Los sistemas de vigilancia y reconocimiento plantean riesgos elevados. Inferir atención mediante rostro, emoción o movimiento carece de fundamento suficiente para muchas decisiones educativas y puede discriminar por discapacidad, cultura o entorno. Además, normaliza observación continua en espacios de aprendizaje. La universidad debe preferir evidencias pedagógicas directas y menos intrusivas. Tecnologías biométricas requieren una justificación excepcional, evaluación rigurosa y base legal. La conveniencia de supervisar un examen no convierte cualquier captura corporal en proporcional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 UNESCO, 2021).</w:t>
      </w:r>
    </w:p>
    <w:p w14:paraId="26D91294" w14:textId="77777777" w:rsidR="00143D00" w:rsidRPr="00143D00" w:rsidRDefault="00143D00" w:rsidP="00143D00">
      <w:pPr>
        <w:rPr>
          <w:lang w:val="es-MX"/>
        </w:rPr>
      </w:pPr>
      <w:r w:rsidRPr="00143D00">
        <w:rPr>
          <w:lang w:val="es-MX"/>
        </w:rPr>
        <w:t xml:space="preserve">La selección de estudiantes, personal o beneficiarios merece máxima cautela. Un sistema puede ordenar solicitudes, pero el ranking transforma supuestos en oportunidades. Las variables deben ser pertinentes, los criterios públicos y la revisión significativa. No basta que una persona pulse aprobar después de recibir una puntuación. Necesita comprender limitaciones, acceder a información y tener autoridad para cambiar. Los solicitantes deben poder corregir datos y reclamar. En ciertos contextos, el riesgo puede justificar no automatizar la decisión (Citron &amp; Pasquale, 2014;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w:t>
      </w:r>
    </w:p>
    <w:p w14:paraId="70AA8C6F" w14:textId="407BF27A" w:rsidR="00143D00" w:rsidRPr="00143D00" w:rsidRDefault="00143D00" w:rsidP="00143D00">
      <w:pPr>
        <w:rPr>
          <w:lang w:val="es-MX"/>
        </w:rPr>
      </w:pPr>
      <w:r w:rsidRPr="00143D00">
        <w:rPr>
          <w:b/>
          <w:bCs/>
          <w:lang w:val="es-MX"/>
        </w:rPr>
        <w:t xml:space="preserve">Tabla </w:t>
      </w:r>
      <w:r w:rsidR="00FA6F60">
        <w:rPr>
          <w:b/>
          <w:bCs/>
          <w:lang w:val="es-MX"/>
        </w:rPr>
        <w:t>5</w:t>
      </w:r>
      <w:r w:rsidRPr="00143D00">
        <w:rPr>
          <w:b/>
          <w:bCs/>
          <w:lang w:val="es-MX"/>
        </w:rPr>
        <w:t>.3. Fuentes de sesgo y controles institucionales</w:t>
      </w:r>
    </w:p>
    <w:tbl>
      <w:tblPr>
        <w:tblStyle w:val="Tablanormal2"/>
        <w:tblW w:w="8392" w:type="dxa"/>
        <w:tblLook w:val="04A0" w:firstRow="1" w:lastRow="0" w:firstColumn="1" w:lastColumn="0" w:noHBand="0" w:noVBand="1"/>
      </w:tblPr>
      <w:tblGrid>
        <w:gridCol w:w="2098"/>
        <w:gridCol w:w="2098"/>
        <w:gridCol w:w="2098"/>
        <w:gridCol w:w="2098"/>
      </w:tblGrid>
      <w:tr w:rsidR="00143D00" w:rsidRPr="00143D00" w14:paraId="4048DD29" w14:textId="77777777" w:rsidTr="009677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9DA61E7" w14:textId="77777777" w:rsidR="00143D00" w:rsidRPr="00FD37AF" w:rsidRDefault="00143D00" w:rsidP="00FD37AF">
            <w:pPr>
              <w:spacing w:before="0" w:after="0" w:line="240" w:lineRule="auto"/>
              <w:rPr>
                <w:sz w:val="20"/>
                <w:szCs w:val="20"/>
                <w:lang w:val="es-MX"/>
              </w:rPr>
            </w:pPr>
            <w:r w:rsidRPr="00FD37AF">
              <w:rPr>
                <w:sz w:val="20"/>
                <w:szCs w:val="20"/>
                <w:lang w:val="es-MX"/>
              </w:rPr>
              <w:t>Fuente</w:t>
            </w:r>
          </w:p>
        </w:tc>
        <w:tc>
          <w:tcPr>
            <w:tcW w:w="2098" w:type="dxa"/>
            <w:vAlign w:val="center"/>
            <w:hideMark/>
          </w:tcPr>
          <w:p w14:paraId="29EAC432" w14:textId="77777777" w:rsidR="00143D00" w:rsidRPr="00FD37AF" w:rsidRDefault="00143D00" w:rsidP="00FD37AF">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Manifestación</w:t>
            </w:r>
          </w:p>
        </w:tc>
        <w:tc>
          <w:tcPr>
            <w:tcW w:w="2098" w:type="dxa"/>
            <w:vAlign w:val="center"/>
            <w:hideMark/>
          </w:tcPr>
          <w:p w14:paraId="2E756D82" w14:textId="77777777" w:rsidR="00143D00" w:rsidRPr="00FD37AF" w:rsidRDefault="00143D00" w:rsidP="00FD37AF">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Control</w:t>
            </w:r>
          </w:p>
        </w:tc>
        <w:tc>
          <w:tcPr>
            <w:tcW w:w="2098" w:type="dxa"/>
            <w:vAlign w:val="center"/>
            <w:hideMark/>
          </w:tcPr>
          <w:p w14:paraId="69F6E8AB" w14:textId="77777777" w:rsidR="00143D00" w:rsidRPr="00FD37AF" w:rsidRDefault="00143D00" w:rsidP="00FD37AF">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Pregunta de revisión</w:t>
            </w:r>
          </w:p>
        </w:tc>
      </w:tr>
      <w:tr w:rsidR="00143D00" w:rsidRPr="00143D00" w14:paraId="435D0CCA" w14:textId="77777777" w:rsidTr="009677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6593D18" w14:textId="77777777" w:rsidR="00143D00" w:rsidRPr="00FD37AF" w:rsidRDefault="00143D00" w:rsidP="00FD37AF">
            <w:pPr>
              <w:spacing w:before="0" w:after="0" w:line="240" w:lineRule="auto"/>
              <w:rPr>
                <w:sz w:val="20"/>
                <w:szCs w:val="20"/>
                <w:lang w:val="es-MX"/>
              </w:rPr>
            </w:pPr>
            <w:r w:rsidRPr="00FD37AF">
              <w:rPr>
                <w:sz w:val="20"/>
                <w:szCs w:val="20"/>
                <w:lang w:val="es-MX"/>
              </w:rPr>
              <w:t>Representación</w:t>
            </w:r>
          </w:p>
        </w:tc>
        <w:tc>
          <w:tcPr>
            <w:tcW w:w="2098" w:type="dxa"/>
            <w:vAlign w:val="center"/>
            <w:hideMark/>
          </w:tcPr>
          <w:p w14:paraId="68899B55"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Grupos ausentes o escasos</w:t>
            </w:r>
          </w:p>
        </w:tc>
        <w:tc>
          <w:tcPr>
            <w:tcW w:w="2098" w:type="dxa"/>
            <w:vAlign w:val="center"/>
            <w:hideMark/>
          </w:tcPr>
          <w:p w14:paraId="0218EF03"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Muestreo, pruebas y desagregación</w:t>
            </w:r>
          </w:p>
        </w:tc>
        <w:tc>
          <w:tcPr>
            <w:tcW w:w="2098" w:type="dxa"/>
            <w:vAlign w:val="center"/>
            <w:hideMark/>
          </w:tcPr>
          <w:p w14:paraId="1196057B"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¿Quién no está suficientemente representado?</w:t>
            </w:r>
          </w:p>
        </w:tc>
      </w:tr>
      <w:tr w:rsidR="00143D00" w:rsidRPr="00143D00" w14:paraId="5758D63F" w14:textId="77777777" w:rsidTr="009677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3C06857" w14:textId="77777777" w:rsidR="00143D00" w:rsidRPr="00FD37AF" w:rsidRDefault="00143D00" w:rsidP="00FD37AF">
            <w:pPr>
              <w:spacing w:before="0" w:after="0" w:line="240" w:lineRule="auto"/>
              <w:rPr>
                <w:sz w:val="20"/>
                <w:szCs w:val="20"/>
                <w:lang w:val="es-MX"/>
              </w:rPr>
            </w:pPr>
            <w:r w:rsidRPr="00FD37AF">
              <w:rPr>
                <w:sz w:val="20"/>
                <w:szCs w:val="20"/>
                <w:lang w:val="es-MX"/>
              </w:rPr>
              <w:t>Medición</w:t>
            </w:r>
          </w:p>
        </w:tc>
        <w:tc>
          <w:tcPr>
            <w:tcW w:w="2098" w:type="dxa"/>
            <w:vAlign w:val="center"/>
            <w:hideMark/>
          </w:tcPr>
          <w:p w14:paraId="676FABF8"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Variable sustituta inadecuada</w:t>
            </w:r>
          </w:p>
        </w:tc>
        <w:tc>
          <w:tcPr>
            <w:tcW w:w="2098" w:type="dxa"/>
            <w:vAlign w:val="center"/>
            <w:hideMark/>
          </w:tcPr>
          <w:p w14:paraId="4225252E"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Validación del constructo</w:t>
            </w:r>
          </w:p>
        </w:tc>
        <w:tc>
          <w:tcPr>
            <w:tcW w:w="2098" w:type="dxa"/>
            <w:vAlign w:val="center"/>
            <w:hideMark/>
          </w:tcPr>
          <w:p w14:paraId="2610389E"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¿La variable representa el concepto?</w:t>
            </w:r>
          </w:p>
        </w:tc>
      </w:tr>
      <w:tr w:rsidR="00143D00" w:rsidRPr="00143D00" w14:paraId="471A0FB4" w14:textId="77777777" w:rsidTr="009677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620085B" w14:textId="77777777" w:rsidR="00143D00" w:rsidRPr="00FD37AF" w:rsidRDefault="00143D00" w:rsidP="00FD37AF">
            <w:pPr>
              <w:spacing w:before="0" w:after="0" w:line="240" w:lineRule="auto"/>
              <w:rPr>
                <w:sz w:val="20"/>
                <w:szCs w:val="20"/>
                <w:lang w:val="es-MX"/>
              </w:rPr>
            </w:pPr>
            <w:r w:rsidRPr="00FD37AF">
              <w:rPr>
                <w:sz w:val="20"/>
                <w:szCs w:val="20"/>
                <w:lang w:val="es-MX"/>
              </w:rPr>
              <w:t>Etiquetado</w:t>
            </w:r>
          </w:p>
        </w:tc>
        <w:tc>
          <w:tcPr>
            <w:tcW w:w="2098" w:type="dxa"/>
            <w:vAlign w:val="center"/>
            <w:hideMark/>
          </w:tcPr>
          <w:p w14:paraId="15ED39E4"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Juicios históricos convertidos en verdad</w:t>
            </w:r>
          </w:p>
        </w:tc>
        <w:tc>
          <w:tcPr>
            <w:tcW w:w="2098" w:type="dxa"/>
            <w:vAlign w:val="center"/>
            <w:hideMark/>
          </w:tcPr>
          <w:p w14:paraId="48D2A776"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Revisión plural y documentación</w:t>
            </w:r>
          </w:p>
        </w:tc>
        <w:tc>
          <w:tcPr>
            <w:tcW w:w="2098" w:type="dxa"/>
            <w:vAlign w:val="center"/>
            <w:hideMark/>
          </w:tcPr>
          <w:p w14:paraId="546F2638"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¿Quién definió la categoría y con qué criterios?</w:t>
            </w:r>
          </w:p>
        </w:tc>
      </w:tr>
      <w:tr w:rsidR="00143D00" w:rsidRPr="00143D00" w14:paraId="53240945" w14:textId="77777777" w:rsidTr="0096770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DD952AB" w14:textId="77777777" w:rsidR="00143D00" w:rsidRPr="00FD37AF" w:rsidRDefault="00143D00" w:rsidP="00FD37AF">
            <w:pPr>
              <w:spacing w:before="0" w:after="0" w:line="240" w:lineRule="auto"/>
              <w:rPr>
                <w:sz w:val="20"/>
                <w:szCs w:val="20"/>
                <w:lang w:val="es-MX"/>
              </w:rPr>
            </w:pPr>
            <w:r w:rsidRPr="00FD37AF">
              <w:rPr>
                <w:sz w:val="20"/>
                <w:szCs w:val="20"/>
                <w:lang w:val="es-MX"/>
              </w:rPr>
              <w:t>Objetivo</w:t>
            </w:r>
          </w:p>
        </w:tc>
        <w:tc>
          <w:tcPr>
            <w:tcW w:w="2098" w:type="dxa"/>
            <w:vAlign w:val="center"/>
            <w:hideMark/>
          </w:tcPr>
          <w:p w14:paraId="254541A4"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Optimización que desplaza valores</w:t>
            </w:r>
          </w:p>
        </w:tc>
        <w:tc>
          <w:tcPr>
            <w:tcW w:w="2098" w:type="dxa"/>
            <w:vAlign w:val="center"/>
            <w:hideMark/>
          </w:tcPr>
          <w:p w14:paraId="6CF3EA0C"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Restricciones y análisis multicriterio</w:t>
            </w:r>
          </w:p>
        </w:tc>
        <w:tc>
          <w:tcPr>
            <w:tcW w:w="2098" w:type="dxa"/>
            <w:vAlign w:val="center"/>
            <w:hideMark/>
          </w:tcPr>
          <w:p w14:paraId="6466B469" w14:textId="77777777" w:rsidR="00143D00" w:rsidRPr="00FD37AF" w:rsidRDefault="00143D00" w:rsidP="00FD37AF">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FD37AF">
              <w:rPr>
                <w:sz w:val="20"/>
                <w:szCs w:val="20"/>
                <w:lang w:val="es-MX"/>
              </w:rPr>
              <w:t>¿Qué conducta incentiva la métrica?</w:t>
            </w:r>
          </w:p>
        </w:tc>
      </w:tr>
      <w:tr w:rsidR="00143D00" w:rsidRPr="00143D00" w14:paraId="5804C437" w14:textId="77777777" w:rsidTr="009677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8846FD7" w14:textId="77777777" w:rsidR="00143D00" w:rsidRPr="00FD37AF" w:rsidRDefault="00143D00" w:rsidP="00FD37AF">
            <w:pPr>
              <w:spacing w:before="0" w:after="0" w:line="240" w:lineRule="auto"/>
              <w:rPr>
                <w:sz w:val="20"/>
                <w:szCs w:val="20"/>
                <w:lang w:val="es-MX"/>
              </w:rPr>
            </w:pPr>
            <w:r w:rsidRPr="00FD37AF">
              <w:rPr>
                <w:sz w:val="20"/>
                <w:szCs w:val="20"/>
                <w:lang w:val="es-MX"/>
              </w:rPr>
              <w:lastRenderedPageBreak/>
              <w:t>Despliegue</w:t>
            </w:r>
          </w:p>
        </w:tc>
        <w:tc>
          <w:tcPr>
            <w:tcW w:w="2098" w:type="dxa"/>
            <w:vAlign w:val="center"/>
            <w:hideMark/>
          </w:tcPr>
          <w:p w14:paraId="7BC3416D"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Uso en población o contexto distinto</w:t>
            </w:r>
          </w:p>
        </w:tc>
        <w:tc>
          <w:tcPr>
            <w:tcW w:w="2098" w:type="dxa"/>
            <w:vAlign w:val="center"/>
            <w:hideMark/>
          </w:tcPr>
          <w:p w14:paraId="0CB1E6E4"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Piloto, monitoreo y revisión</w:t>
            </w:r>
          </w:p>
        </w:tc>
        <w:tc>
          <w:tcPr>
            <w:tcW w:w="2098" w:type="dxa"/>
            <w:vAlign w:val="center"/>
            <w:hideMark/>
          </w:tcPr>
          <w:p w14:paraId="1FF368B6" w14:textId="77777777" w:rsidR="00143D00" w:rsidRPr="00FD37AF" w:rsidRDefault="00143D00" w:rsidP="00FD37AF">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FD37AF">
              <w:rPr>
                <w:sz w:val="20"/>
                <w:szCs w:val="20"/>
                <w:lang w:val="es-MX"/>
              </w:rPr>
              <w:t>¿Dónde disminuye el rendimiento?</w:t>
            </w:r>
          </w:p>
        </w:tc>
      </w:tr>
    </w:tbl>
    <w:p w14:paraId="49E8515D" w14:textId="77777777" w:rsidR="00143D00" w:rsidRPr="00143D00" w:rsidRDefault="00143D00" w:rsidP="00143D00">
      <w:pPr>
        <w:rPr>
          <w:lang w:val="es-MX"/>
        </w:rPr>
      </w:pPr>
      <w:r w:rsidRPr="00143D00">
        <w:rPr>
          <w:i/>
          <w:iCs/>
          <w:lang w:val="es-MX"/>
        </w:rPr>
        <w:t>Fuente: elaboración propia a partir de las referencias citadas en el apartado.</w:t>
      </w:r>
    </w:p>
    <w:p w14:paraId="70863F63" w14:textId="77777777" w:rsidR="00143D00" w:rsidRPr="00143D00" w:rsidRDefault="00143D00" w:rsidP="00143D00">
      <w:pPr>
        <w:rPr>
          <w:lang w:val="es-MX"/>
        </w:rPr>
      </w:pPr>
      <w:r w:rsidRPr="00143D00">
        <w:rPr>
          <w:lang w:val="es-MX"/>
        </w:rPr>
        <w:t>Las alertas tempranas ilustran una tensión frecuente. Detectar riesgo puede activar apoyo, pero también estigmatizar, vigilar o reducir expectativas. La intervención debe ser beneficiosa, voluntaria cuando corresponda y separada de sanción. El mensaje no presenta la predicción como destino. Los orientadores reciben contexto y formación. Se evalúa quién recibe alertas, quién acepta ayuda y qué resultados ocurren. Si el sistema identifica a un grupo con mayor frecuencia pero el servicio no tiene capacidad, la analítica amplifica frustración sin resolver causas (Slade &amp; Prinsloo, 2013; Baker &amp; Hawn, 2022).</w:t>
      </w:r>
    </w:p>
    <w:p w14:paraId="693ABAAA" w14:textId="77777777" w:rsidR="00143D00" w:rsidRPr="00143D00" w:rsidRDefault="00143D00" w:rsidP="00143D00">
      <w:pPr>
        <w:rPr>
          <w:lang w:val="es-MX"/>
        </w:rPr>
      </w:pPr>
      <w:r w:rsidRPr="00143D00">
        <w:rPr>
          <w:lang w:val="es-MX"/>
        </w:rPr>
        <w:t>La retroalimentación automatizada puede variar según estilo lingüístico y conocimiento cultural. Una recomendación que favorece una norma única de escritura puede borrar voz, dialecto o disciplina. Los criterios deben centrarse en objetivos declarados y separar corrección formal de calidad conceptual. El estudiante conoce que la respuesta es automática y puede pedir revisión. Las herramientas se prueban con textos diversos, incluidos los de aprendices de una segunda lengua. El propósito es ampliar oportunidades de revisión, no homogeneizar expresión (Miao &amp; Holmes, 2023).</w:t>
      </w:r>
    </w:p>
    <w:p w14:paraId="0D17F5C9" w14:textId="77777777" w:rsidR="00143D00" w:rsidRPr="00143D00" w:rsidRDefault="00143D00" w:rsidP="00143D00">
      <w:pPr>
        <w:rPr>
          <w:lang w:val="es-MX"/>
        </w:rPr>
      </w:pPr>
      <w:r w:rsidRPr="00143D00">
        <w:rPr>
          <w:lang w:val="es-MX"/>
        </w:rPr>
        <w:t>La explicabilidad debe responder a la necesidad de la persona. Un desarrollador puede requerir variables y pruebas, mientras un estudiante necesita saber qué información influyó, qué significa la recomendación y cómo corregir. Explicar no es revelar código completo ni ofrecer una frase genérica. La información debe ser fiel, comprensible y accionable. Cuando el modelo no permite una explicación suficiente para la importancia de la decisión, su uso debe limitarse. La opacidad comercial no exime a la universidad de rendir cuentas (Kroll et al., 2017; Tabassi, 2023).</w:t>
      </w:r>
    </w:p>
    <w:p w14:paraId="6B3CD451" w14:textId="7E1D1EF3" w:rsidR="00143D00" w:rsidRPr="00143D00" w:rsidRDefault="00143D00" w:rsidP="00967705">
      <w:pPr>
        <w:pStyle w:val="Ttulo3"/>
        <w:rPr>
          <w:lang w:val="es-MX"/>
        </w:rPr>
      </w:pPr>
      <w:bookmarkStart w:id="114" w:name="_Toc239440971"/>
      <w:r w:rsidRPr="00143D00">
        <w:rPr>
          <w:lang w:val="es-MX"/>
        </w:rPr>
        <w:t>Supervisión, auditoría, participación, reparación e impacto</w:t>
      </w:r>
      <w:bookmarkEnd w:id="114"/>
    </w:p>
    <w:p w14:paraId="17AA1F64" w14:textId="77777777" w:rsidR="00143D00" w:rsidRPr="00143D00" w:rsidRDefault="00143D00" w:rsidP="00143D00">
      <w:pPr>
        <w:rPr>
          <w:lang w:val="es-MX"/>
        </w:rPr>
      </w:pPr>
      <w:r w:rsidRPr="00143D00">
        <w:rPr>
          <w:lang w:val="es-MX"/>
        </w:rPr>
        <w:t xml:space="preserve">La supervisión humana solo es significativa si la persona posee competencia, tiempo, información y autoridad. Un revisor que recibe cientos de casos y una recomendación destacada puede limitarse a confirmarla. La interfaz debe permitir comparación, mostrar incertidumbre y evitar anclaje. Se registran desacuerdos y resultados, sin penalizar automáticamente a quien cuestiona. La organización debe valorar el juicio profesional y ajustar carga. Añadir una firma al final de un proceso no transforma una decisión automatizada en responsable (Parasuraman &amp; Riley, 1997;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w:t>
      </w:r>
    </w:p>
    <w:p w14:paraId="7482EB75" w14:textId="77777777" w:rsidR="00143D00" w:rsidRPr="00143D00" w:rsidRDefault="00143D00" w:rsidP="00143D00">
      <w:pPr>
        <w:rPr>
          <w:lang w:val="es-MX"/>
        </w:rPr>
      </w:pPr>
      <w:r w:rsidRPr="00143D00">
        <w:rPr>
          <w:lang w:val="es-MX"/>
        </w:rPr>
        <w:t xml:space="preserve">La auditoría algorítmica examina finalidad, datos, rendimiento, seguridad, equidad, experiencia y gobernanza. Puede ser interna o independiente, pero necesita acceso suficiente. Las pruebas incluyen escenarios normales, casos extremos, grupos y cambios temporales. También se revisan documentación, contratos y decisiones humanas. Publicar un resumen metodológico aumenta </w:t>
      </w:r>
      <w:r w:rsidRPr="00143D00">
        <w:rPr>
          <w:lang w:val="es-MX"/>
        </w:rPr>
        <w:lastRenderedPageBreak/>
        <w:t>confianza sin exponer información sensible. La auditoría no es un certificado permanente. Los modelos, datos y contextos cambian, por lo que se requiere monitoreo y reevaluación (Raji et al., 2020; Tabassi, 2023).</w:t>
      </w:r>
    </w:p>
    <w:p w14:paraId="5D8FE72E" w14:textId="77777777" w:rsidR="00143D00" w:rsidRPr="00143D00" w:rsidRDefault="00143D00" w:rsidP="00143D00">
      <w:pPr>
        <w:rPr>
          <w:lang w:val="es-MX"/>
        </w:rPr>
      </w:pPr>
      <w:r w:rsidRPr="00143D00">
        <w:rPr>
          <w:lang w:val="es-MX"/>
        </w:rPr>
        <w:t>La participación de comunidades afectadas permite descubrir daños que los desarrolladores no anticipan. Estudiantes, docentes, trabajadores y grupos históricamente excluidos pueden señalar categorías ofensivas, barreras y consecuencias. Su participación debe comenzar antes de comprar y continuar durante evaluación. Consultar no significa trasladarles responsabilidad ni utilizar una reunión como legitimación. La institución comunica qué cambió, qué no y por qué. También remunera o reconoce contribuciones cuando exigen trabajo significativo (Selbst et al., 2019; UNESCO, 2021).</w:t>
      </w:r>
    </w:p>
    <w:p w14:paraId="74A4BD54" w14:textId="77777777" w:rsidR="00143D00" w:rsidRPr="00143D00" w:rsidRDefault="00143D00" w:rsidP="00143D00">
      <w:pPr>
        <w:rPr>
          <w:lang w:val="es-MX"/>
        </w:rPr>
      </w:pPr>
      <w:r w:rsidRPr="00143D00">
        <w:rPr>
          <w:lang w:val="es-MX"/>
        </w:rPr>
        <w:t>La reparación forma parte de la justicia. Si una decisión incorrecta negó una oportunidad, corregir el modelo no resuelve el caso individual. Deben existir revisión, restitución, corrección de registros, comunicación y medidas para evitar repetición. La universidad analiza si otros casos fueron afectados por la misma causa. El proceso no exige que cada persona demuestre detalles técnicos inaccesibles. Una vía de recurso clara redistribuye la carga y transforma la rendición de cuentas en una práctica, no en una promesa (Citron &amp; Pasquale, 2014; Kroll et al., 2017).</w:t>
      </w:r>
    </w:p>
    <w:p w14:paraId="6F0035C0" w14:textId="77777777" w:rsidR="00143D00" w:rsidRPr="00143D00" w:rsidRDefault="00143D00" w:rsidP="00143D00">
      <w:pPr>
        <w:rPr>
          <w:lang w:val="es-MX"/>
        </w:rPr>
      </w:pPr>
      <w:r w:rsidRPr="00143D00">
        <w:rPr>
          <w:lang w:val="es-MX"/>
        </w:rPr>
        <w:t>La evaluación de impacto sobre derechos integra sesgo, privacidad, seguridad, accesibilidad y autonomía. Describe afectados, beneficios, escenarios de daño, controles y riesgo residual. Debe realizarse antes de decisiones importantes y actualizarse cuando cambia el sistema. Los resultados alimentan contratación y diseño. Algunos usos podrán continuar con límites, otros requerirán piloto y otros deberán descartarse. La proporcionalidad implica que cuanto mayor sea la consecuencia, mayor será la evidencia, supervisión y posibilidad de recurso exigida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 UNESCO, 2021).</w:t>
      </w:r>
    </w:p>
    <w:p w14:paraId="761AF8DD" w14:textId="11EF257B" w:rsidR="00143D00" w:rsidRPr="00143D00" w:rsidRDefault="00143D00" w:rsidP="00967705">
      <w:pPr>
        <w:pStyle w:val="Ttulo2"/>
        <w:rPr>
          <w:lang w:val="es-MX"/>
        </w:rPr>
      </w:pPr>
      <w:bookmarkStart w:id="115" w:name="_Toc239440972"/>
      <w:r w:rsidRPr="00143D00">
        <w:rPr>
          <w:lang w:val="es-MX"/>
        </w:rPr>
        <w:t>Uso responsable y políticas institucionales</w:t>
      </w:r>
      <w:bookmarkEnd w:id="115"/>
    </w:p>
    <w:p w14:paraId="03CA28B4" w14:textId="7C8849C0" w:rsidR="00143D00" w:rsidRPr="00143D00" w:rsidRDefault="00143D00" w:rsidP="00967705">
      <w:pPr>
        <w:pStyle w:val="Ttulo3"/>
        <w:rPr>
          <w:lang w:val="es-MX"/>
        </w:rPr>
      </w:pPr>
      <w:bookmarkStart w:id="116" w:name="_Toc239440973"/>
      <w:r w:rsidRPr="00143D00">
        <w:rPr>
          <w:lang w:val="es-MX"/>
        </w:rPr>
        <w:t>Propósito, alcance y clasificación institucional del riesgo</w:t>
      </w:r>
      <w:bookmarkEnd w:id="116"/>
    </w:p>
    <w:p w14:paraId="7D8842F3" w14:textId="77777777" w:rsidR="00143D00" w:rsidRPr="00143D00" w:rsidRDefault="00143D00" w:rsidP="00143D00">
      <w:pPr>
        <w:rPr>
          <w:lang w:val="es-MX"/>
        </w:rPr>
      </w:pPr>
      <w:r w:rsidRPr="00143D00">
        <w:rPr>
          <w:lang w:val="es-MX"/>
        </w:rPr>
        <w:t>Una política institucional de inteligencia artificial convierte valores en expectativas, responsabilidades y procedimientos. Debe ser lo bastante estable para proteger derechos y lo bastante adaptable para responder a cambios tecnológicos. No se limita a la conducta estudiantil. Abarca enseñanza, evaluación, investigación, empleo, administración, contratación y comunicación. La política identifica principios, alcance, autoridades, categorías de riesgo, usos prohibidos, requisitos y vías de consulta. Su legitimidad depende de participación, claridad y aplicación coherente, no solo de aprobación formal (Jobin et al., 2019; UNESCO, 2021).</w:t>
      </w:r>
    </w:p>
    <w:p w14:paraId="6F7D6201" w14:textId="77777777" w:rsidR="00143D00" w:rsidRPr="00143D00" w:rsidRDefault="00143D00" w:rsidP="00143D00">
      <w:pPr>
        <w:rPr>
          <w:lang w:val="es-MX"/>
        </w:rPr>
      </w:pPr>
      <w:r w:rsidRPr="00143D00">
        <w:rPr>
          <w:lang w:val="es-MX"/>
        </w:rPr>
        <w:t xml:space="preserve">El punto de partida es una declaración de propósito vinculada con la misión universitaria. La institución puede buscar ampliar aprendizaje, accesibilidad, investigación o calidad de servicio, </w:t>
      </w:r>
      <w:r w:rsidRPr="00143D00">
        <w:rPr>
          <w:lang w:val="es-MX"/>
        </w:rPr>
        <w:lastRenderedPageBreak/>
        <w:t>pero debe evitar adoptar tecnología como fin. Los principios habituales incluyen autonomía humana, justicia, prevención de daño, explicabilidad, privacidad y responsabilidad. Cada principio se traduce en preguntas y controles. La justicia exige pruebas e intervención; la transparencia exige información útil; la responsabilidad exige una persona o unidad identificable. Sin traducción operativa, los principios pueden legitimar decisiones opuestas (</w:t>
      </w:r>
      <w:proofErr w:type="spellStart"/>
      <w:r w:rsidRPr="00143D00">
        <w:rPr>
          <w:lang w:val="es-MX"/>
        </w:rPr>
        <w:t>Floridi</w:t>
      </w:r>
      <w:proofErr w:type="spellEnd"/>
      <w:r w:rsidRPr="00143D00">
        <w:rPr>
          <w:lang w:val="es-MX"/>
        </w:rPr>
        <w:t xml:space="preserve"> et al., 2018; </w:t>
      </w:r>
      <w:proofErr w:type="spellStart"/>
      <w:r w:rsidRPr="00143D00">
        <w:rPr>
          <w:lang w:val="es-MX"/>
        </w:rPr>
        <w:t>Dignum</w:t>
      </w:r>
      <w:proofErr w:type="spellEnd"/>
      <w:r w:rsidRPr="00143D00">
        <w:rPr>
          <w:lang w:val="es-MX"/>
        </w:rPr>
        <w:t>, 2019).</w:t>
      </w:r>
    </w:p>
    <w:p w14:paraId="3825B8C6" w14:textId="77777777" w:rsidR="00143D00" w:rsidRPr="00143D00" w:rsidRDefault="00143D00" w:rsidP="00143D00">
      <w:pPr>
        <w:rPr>
          <w:lang w:val="es-MX"/>
        </w:rPr>
      </w:pPr>
      <w:r w:rsidRPr="00143D00">
        <w:rPr>
          <w:lang w:val="es-MX"/>
        </w:rPr>
        <w:t>El alcance debe incluir herramientas institucionales y usos individuales que procesan información universitaria. También considera modelos integrados en plataformas existentes, porque una función nueva puede aparecer mediante actualización. La política define a quién se aplica y cómo interactúa con integridad, datos, seguridad, investigación, propiedad intelectual, compras y recursos humanos. No conviene duplicar normas contradictorias. Un mapa normativo ayuda a localizar la regla aplicable y la autoridad competente (OECD, 2023; UNESCO, 2021).</w:t>
      </w:r>
    </w:p>
    <w:p w14:paraId="1A2E59E0" w14:textId="77777777" w:rsidR="00143D00" w:rsidRDefault="00143D00" w:rsidP="00143D00">
      <w:pPr>
        <w:rPr>
          <w:lang w:val="es-MX"/>
        </w:rPr>
      </w:pPr>
      <w:r w:rsidRPr="00143D00">
        <w:rPr>
          <w:lang w:val="es-MX"/>
        </w:rPr>
        <w:t xml:space="preserve">La clasificación por riesgo permite asignar requisitos proporcionales. Un corrector usado sobre texto público tiene un perfil distinto de un modelo que recomienda admisión o sanción. Se consideran sensibilidad de datos, escala, reversibilidad, vulnerabilidad, autonomía, impacto y posibilidad de impugnación. Los usos de bajo riesgo pueden seguir una guía breve. Los de riesgo elevado requieren evaluación de impacto, validación, aprobación, monitoreo y revisión humana. Algunos usos, por su incompatibilidad con derechos o misión, se prohíben (Tabassi, 2023;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w:t>
      </w:r>
    </w:p>
    <w:p w14:paraId="7E8999DD" w14:textId="4DF0B5F0" w:rsidR="006E4FCA" w:rsidRPr="00143D00" w:rsidRDefault="00D04024" w:rsidP="00143D00">
      <w:pPr>
        <w:rPr>
          <w:lang w:val="es-MX"/>
        </w:rPr>
      </w:pPr>
      <w:r>
        <w:rPr>
          <w:noProof/>
          <w:lang w:val="es-MX"/>
        </w:rPr>
        <w:drawing>
          <wp:inline distT="0" distB="0" distL="0" distR="0" wp14:anchorId="11718ABA" wp14:editId="26809F11">
            <wp:extent cx="5400675" cy="3600450"/>
            <wp:effectExtent l="0" t="0" r="9525" b="0"/>
            <wp:docPr id="125395756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7F3AA6F6" w14:textId="38657AEE" w:rsidR="00143D00" w:rsidRPr="00143D00" w:rsidRDefault="00143D00" w:rsidP="00967705">
      <w:pPr>
        <w:pStyle w:val="Ttulo3"/>
        <w:rPr>
          <w:lang w:val="es-MX"/>
        </w:rPr>
      </w:pPr>
      <w:bookmarkStart w:id="117" w:name="_Toc239440974"/>
      <w:r w:rsidRPr="00143D00">
        <w:rPr>
          <w:lang w:val="es-MX"/>
        </w:rPr>
        <w:lastRenderedPageBreak/>
        <w:t>Prohibiciones, docencia, investigación y propiedad intelectual</w:t>
      </w:r>
      <w:bookmarkEnd w:id="117"/>
    </w:p>
    <w:p w14:paraId="08241B3D" w14:textId="77777777" w:rsidR="00143D00" w:rsidRPr="00143D00" w:rsidRDefault="00143D00" w:rsidP="00143D00">
      <w:pPr>
        <w:rPr>
          <w:lang w:val="es-MX"/>
        </w:rPr>
      </w:pPr>
      <w:r w:rsidRPr="00143D00">
        <w:rPr>
          <w:lang w:val="es-MX"/>
        </w:rPr>
        <w:t>Las prohibiciones deben ser específicas. Pueden incluir suplantación, fabricación de evidencia, decisiones disciplinarias completamente automatizadas, inferencia no justificada de emociones, vigilancia indiscriminada y carga de datos sensibles en servicios no autorizados. La lista se acompaña de razones y ejemplos. Prohibir inteligencia artificial de manera general sería difícil de aplicar y podría bloquear accesibilidad. Una prohibición precisa protege bienes concretos y facilita reconocer conductas. También se revisa cuando cambian evidencia, regulación o capacidades (Miao &amp; Holmes, 2023; UNESCO, 2021).</w:t>
      </w:r>
    </w:p>
    <w:p w14:paraId="6C35ADFA" w14:textId="77777777" w:rsidR="00143D00" w:rsidRPr="00143D00" w:rsidRDefault="00143D00" w:rsidP="00143D00">
      <w:pPr>
        <w:rPr>
          <w:lang w:val="es-MX"/>
        </w:rPr>
      </w:pPr>
      <w:r w:rsidRPr="00143D00">
        <w:rPr>
          <w:lang w:val="es-MX"/>
        </w:rPr>
        <w:t>Las reglas de enseñanza se comunican en cada asignatura. El sílabo indica qué usos están permitidos, cuáles requieren declaración y cuáles contradicen los objetivos. Los docentes explican ejemplos y diseñan oportunidades para practicar uso crítico. Si la regla cambia durante el periodo, se informa y no se sanciona retroactivamente. Las adaptaciones de accesibilidad se coordinan de manera confidencial. La política institucional ofrece lenguaje común, pero permite diferencias justificadas entre disciplinas y niveles (Cotton et al., 2024; CAST, 2024).</w:t>
      </w:r>
    </w:p>
    <w:p w14:paraId="62604036" w14:textId="77777777" w:rsidR="00143D00" w:rsidRPr="00143D00" w:rsidRDefault="00143D00" w:rsidP="00143D00">
      <w:pPr>
        <w:rPr>
          <w:lang w:val="es-MX"/>
        </w:rPr>
      </w:pPr>
      <w:r w:rsidRPr="00143D00">
        <w:rPr>
          <w:lang w:val="es-MX"/>
        </w:rPr>
        <w:t>La investigación requiere lineamientos para búsqueda, escritura, análisis, programación, revisión y publicación. Los investigadores conservan responsabilidad por exactitud, fuentes, autoría y confidencialidad. Se declara asistencia sustantiva según las normas del medio. No se introducen manuscritos, propuestas o datos de participantes en sistemas externos sin autorización. Los comités de ética y oficinas de investigación revisan protocolos. La política también aborda generación de imágenes, datos sintéticos y código, porque cada modalidad presenta riesgos diferentes (Miao &amp; Holmes, 2023; UNESCO, 2021).</w:t>
      </w:r>
    </w:p>
    <w:p w14:paraId="218C4324" w14:textId="77777777" w:rsidR="00143D00" w:rsidRPr="00143D00" w:rsidRDefault="00143D00" w:rsidP="00143D00">
      <w:pPr>
        <w:rPr>
          <w:lang w:val="es-MX"/>
        </w:rPr>
      </w:pPr>
      <w:r w:rsidRPr="00143D00">
        <w:rPr>
          <w:lang w:val="es-MX"/>
        </w:rPr>
        <w:t>La propiedad intelectual necesita un tratamiento prudente. Los términos de un proveedor pueden afectar derechos sobre entradas y resultados. Un contenido generado puede parecerse a obras de entrenamiento o no satisfacer requisitos de originalidad. La universidad no promete exclusividad que no puede garantizar. Docentes y estudiantes conocen condiciones antes de cargar materiales. Los contratos limitan reutilización y preservan derechos institucionales. Cuando la atribución o licencia es incierta, se prefieren fuentes identificables y recursos con permisos claros (Crawford, 2021; Miao &amp; Holmes, 2023).</w:t>
      </w:r>
    </w:p>
    <w:p w14:paraId="1CF888A8" w14:textId="7BA11093" w:rsidR="00143D00" w:rsidRPr="00143D00" w:rsidRDefault="00143D00" w:rsidP="006D0332">
      <w:pPr>
        <w:pStyle w:val="Ttulo3"/>
        <w:rPr>
          <w:lang w:val="es-MX"/>
        </w:rPr>
      </w:pPr>
      <w:bookmarkStart w:id="118" w:name="_Toc239440975"/>
      <w:r w:rsidRPr="00143D00">
        <w:rPr>
          <w:lang w:val="es-MX"/>
        </w:rPr>
        <w:t>Gobernanza, registro, adquisición y contratación responsable</w:t>
      </w:r>
      <w:bookmarkEnd w:id="118"/>
    </w:p>
    <w:p w14:paraId="059F60F0" w14:textId="77777777" w:rsidR="00143D00" w:rsidRPr="00143D00" w:rsidRDefault="00143D00" w:rsidP="00143D00">
      <w:pPr>
        <w:rPr>
          <w:lang w:val="es-MX"/>
        </w:rPr>
      </w:pPr>
      <w:r w:rsidRPr="00143D00">
        <w:rPr>
          <w:lang w:val="es-MX"/>
        </w:rPr>
        <w:t xml:space="preserve">La estructura de gobernanza distribuye funciones sin diluir responsabilidad. Un comité transversal puede orientar, priorizar y revisar usos de alto riesgo. Debe incluir academia, tecnología, datos, seguridad, ética, jurídica, bibliotecas, accesibilidad y representación estudiantil. Las unidades operativas siguen siendo responsables de los sistemas que usan. El órgano superior recibe informes y decide sobre riesgos residuales relevantes. El delegado de protección de datos conserva independencia en sus competencias. La gobernanza funciona cuando existen recursos, </w:t>
      </w:r>
      <w:r w:rsidRPr="00143D00">
        <w:rPr>
          <w:lang w:val="es-MX"/>
        </w:rPr>
        <w:lastRenderedPageBreak/>
        <w:t>calendarios y autoridad, no solo nombres en un organigrama (</w:t>
      </w:r>
      <w:proofErr w:type="spellStart"/>
      <w:r w:rsidRPr="00143D00">
        <w:rPr>
          <w:lang w:val="es-MX"/>
        </w:rPr>
        <w:t>Dignum</w:t>
      </w:r>
      <w:proofErr w:type="spellEnd"/>
      <w:r w:rsidRPr="00143D00">
        <w:rPr>
          <w:lang w:val="es-MX"/>
        </w:rPr>
        <w:t>, 2019; Asamblea Nacional del Ecuador, 2021).</w:t>
      </w:r>
    </w:p>
    <w:p w14:paraId="4E568ABD" w14:textId="77777777" w:rsidR="00143D00" w:rsidRPr="00143D00" w:rsidRDefault="00143D00" w:rsidP="00143D00">
      <w:pPr>
        <w:rPr>
          <w:lang w:val="es-MX"/>
        </w:rPr>
      </w:pPr>
      <w:r w:rsidRPr="00143D00">
        <w:rPr>
          <w:lang w:val="es-MX"/>
        </w:rPr>
        <w:t>El registro institucional de sistemas permite conocer qué herramientas están activas. Incluye finalidad, unidad responsable, proveedor, modelo, datos, población, nivel de riesgo, aprobación, evaluaciones, fecha de revisión e incidentes. Se incorporan integraciones y pilotos, no solo productos centrales. Una versión pública puede informar usos que afectan a la comunidad, mientras detalles de seguridad permanecen restringidos. El inventario evita duplicación y permite retirar herramientas abandonadas. También facilita responder a auditorías y derechos (Tabassi, 2023; OECD, 2023).</w:t>
      </w:r>
    </w:p>
    <w:p w14:paraId="69154D4C" w14:textId="77777777" w:rsidR="00143D00" w:rsidRPr="00143D00" w:rsidRDefault="00143D00" w:rsidP="00143D00">
      <w:pPr>
        <w:rPr>
          <w:lang w:val="es-MX"/>
        </w:rPr>
      </w:pPr>
      <w:r w:rsidRPr="00143D00">
        <w:rPr>
          <w:lang w:val="es-MX"/>
        </w:rPr>
        <w:t>La adquisición responsable comienza antes de solicitar ofertas. Los requisitos incluyen accesibilidad, privacidad, seguridad, rendimiento, equidad, interoperabilidad, documentación, soporte y salida. Las pruebas se realizan con casos propios y poblaciones relevantes. La universidad solicita información sobre datos de entrenamiento cuando sea pertinente, limitaciones, subcontratistas, actualizaciones y mecanismos de reclamación. Una demostración comercial no sustituye evidencia. La evaluación pondera costo total, incluido trabajo de verificación, capacitación, incidentes y dependencia (OECD, 2023; Autio et al., 2024).</w:t>
      </w:r>
    </w:p>
    <w:p w14:paraId="7143583D" w14:textId="77777777" w:rsidR="00143D00" w:rsidRPr="00143D00" w:rsidRDefault="00143D00" w:rsidP="00143D00">
      <w:pPr>
        <w:rPr>
          <w:lang w:val="es-MX"/>
        </w:rPr>
      </w:pPr>
      <w:r w:rsidRPr="00143D00">
        <w:rPr>
          <w:lang w:val="es-MX"/>
        </w:rPr>
        <w:t>Los contratos deben conservar capacidad institucional de control. Se definen niveles de servicio, notificación de cambios, auditoría, conservación, eliminación, propiedad, confidencialidad y asistencia al terminar. Un proveedor no puede modificar silenciosamente el modelo usado para una decisión importante. Los cambios sustantivos activan nueva validación. Las cláusulas permiten suspender el servicio ante riesgo y obtener datos en formato portable. La contratación pública o privada debe coordinarse con áreas académicas y de derechos, porque una decisión técnica puede alterar prácticas universitarias (NIST, 2020; Tabassi, 2023).</w:t>
      </w:r>
    </w:p>
    <w:p w14:paraId="3F9D1120" w14:textId="77777777" w:rsidR="00143D00" w:rsidRPr="00143D00" w:rsidRDefault="00143D00" w:rsidP="00143D00">
      <w:pPr>
        <w:rPr>
          <w:lang w:val="es-MX"/>
        </w:rPr>
      </w:pPr>
      <w:r w:rsidRPr="00143D00">
        <w:rPr>
          <w:lang w:val="es-MX"/>
        </w:rPr>
        <w:t>La aprobación de un sistema se basa en evidencia proporcional. El expediente describe necesidad, alternativas, beneficios, riesgos, datos, pruebas y responsables. Para usos de alto impacto se exige evaluación de impacto y consulta. La autoridad puede aprobar con condiciones, limitar población, pedir un piloto o rechazar. Las excepciones tienen duración y justificación. Una vez aprobado, el sistema no queda liberado de revisión. La fecha de caducidad obliga a demostrar que sigue siendo útil y seguro (</w:t>
      </w:r>
      <w:proofErr w:type="spellStart"/>
      <w:r w:rsidRPr="00143D00">
        <w:rPr>
          <w:lang w:val="es-MX"/>
        </w:rPr>
        <w:t>European</w:t>
      </w:r>
      <w:proofErr w:type="spellEnd"/>
      <w:r w:rsidRPr="00143D00">
        <w:rPr>
          <w:lang w:val="es-MX"/>
        </w:rPr>
        <w:t xml:space="preserve"> Parliament &amp; Council </w:t>
      </w:r>
      <w:proofErr w:type="spellStart"/>
      <w:r w:rsidRPr="00143D00">
        <w:rPr>
          <w:lang w:val="es-MX"/>
        </w:rPr>
        <w:t>of</w:t>
      </w:r>
      <w:proofErr w:type="spellEnd"/>
      <w:r w:rsidRPr="00143D00">
        <w:rPr>
          <w:lang w:val="es-MX"/>
        </w:rPr>
        <w:t xml:space="preserve"> </w:t>
      </w:r>
      <w:proofErr w:type="spellStart"/>
      <w:r w:rsidRPr="00143D00">
        <w:rPr>
          <w:lang w:val="es-MX"/>
        </w:rPr>
        <w:t>the</w:t>
      </w:r>
      <w:proofErr w:type="spellEnd"/>
      <w:r w:rsidRPr="00143D00">
        <w:rPr>
          <w:lang w:val="es-MX"/>
        </w:rPr>
        <w:t xml:space="preserve"> </w:t>
      </w:r>
      <w:proofErr w:type="spellStart"/>
      <w:r w:rsidRPr="00143D00">
        <w:rPr>
          <w:lang w:val="es-MX"/>
        </w:rPr>
        <w:t>European</w:t>
      </w:r>
      <w:proofErr w:type="spellEnd"/>
      <w:r w:rsidRPr="00143D00">
        <w:rPr>
          <w:lang w:val="es-MX"/>
        </w:rPr>
        <w:t xml:space="preserve"> Union, 2024; Tabassi, 2023).</w:t>
      </w:r>
    </w:p>
    <w:p w14:paraId="07A6C0EF" w14:textId="45B9CEF2" w:rsidR="00143D00" w:rsidRPr="00143D00" w:rsidRDefault="00143D00" w:rsidP="00143D00">
      <w:pPr>
        <w:rPr>
          <w:lang w:val="es-MX"/>
        </w:rPr>
      </w:pPr>
      <w:r w:rsidRPr="00143D00">
        <w:rPr>
          <w:b/>
          <w:bCs/>
          <w:lang w:val="es-MX"/>
        </w:rPr>
        <w:t xml:space="preserve">Tabla </w:t>
      </w:r>
      <w:r w:rsidR="00FA6F60">
        <w:rPr>
          <w:b/>
          <w:bCs/>
          <w:lang w:val="es-MX"/>
        </w:rPr>
        <w:t>5</w:t>
      </w:r>
      <w:r w:rsidRPr="00143D00">
        <w:rPr>
          <w:b/>
          <w:bCs/>
          <w:lang w:val="es-MX"/>
        </w:rPr>
        <w:t>.4. Requisitos proporcionales según nivel de riesgo</w:t>
      </w:r>
    </w:p>
    <w:tbl>
      <w:tblPr>
        <w:tblStyle w:val="Tablanormal2"/>
        <w:tblW w:w="8392" w:type="dxa"/>
        <w:tblLook w:val="04A0" w:firstRow="1" w:lastRow="0" w:firstColumn="1" w:lastColumn="0" w:noHBand="0" w:noVBand="1"/>
      </w:tblPr>
      <w:tblGrid>
        <w:gridCol w:w="2098"/>
        <w:gridCol w:w="2098"/>
        <w:gridCol w:w="2098"/>
        <w:gridCol w:w="2098"/>
      </w:tblGrid>
      <w:tr w:rsidR="00143D00" w:rsidRPr="00143D00" w14:paraId="0BC50912" w14:textId="77777777" w:rsidTr="006D03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3444F2B" w14:textId="77777777" w:rsidR="00143D00" w:rsidRPr="006D0332" w:rsidRDefault="00143D00" w:rsidP="006D0332">
            <w:pPr>
              <w:spacing w:before="0" w:after="0" w:line="240" w:lineRule="auto"/>
              <w:jc w:val="center"/>
              <w:rPr>
                <w:sz w:val="20"/>
                <w:szCs w:val="20"/>
                <w:lang w:val="es-MX"/>
              </w:rPr>
            </w:pPr>
            <w:r w:rsidRPr="006D0332">
              <w:rPr>
                <w:sz w:val="20"/>
                <w:szCs w:val="20"/>
                <w:lang w:val="es-MX"/>
              </w:rPr>
              <w:t>Nivel</w:t>
            </w:r>
          </w:p>
        </w:tc>
        <w:tc>
          <w:tcPr>
            <w:tcW w:w="2098" w:type="dxa"/>
            <w:vAlign w:val="center"/>
            <w:hideMark/>
          </w:tcPr>
          <w:p w14:paraId="0E9DDCE5" w14:textId="77777777" w:rsidR="00143D00" w:rsidRPr="006D0332" w:rsidRDefault="00143D00" w:rsidP="006D033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Ejemplo</w:t>
            </w:r>
          </w:p>
        </w:tc>
        <w:tc>
          <w:tcPr>
            <w:tcW w:w="2098" w:type="dxa"/>
            <w:vAlign w:val="center"/>
            <w:hideMark/>
          </w:tcPr>
          <w:p w14:paraId="5930007A" w14:textId="77777777" w:rsidR="00143D00" w:rsidRPr="006D0332" w:rsidRDefault="00143D00" w:rsidP="006D033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Requisitos mínimos</w:t>
            </w:r>
          </w:p>
        </w:tc>
        <w:tc>
          <w:tcPr>
            <w:tcW w:w="2098" w:type="dxa"/>
            <w:vAlign w:val="center"/>
            <w:hideMark/>
          </w:tcPr>
          <w:p w14:paraId="218F2682" w14:textId="77777777" w:rsidR="00143D00" w:rsidRPr="006D0332" w:rsidRDefault="00143D00" w:rsidP="006D033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Decisión</w:t>
            </w:r>
          </w:p>
        </w:tc>
      </w:tr>
      <w:tr w:rsidR="00143D00" w:rsidRPr="00143D00" w14:paraId="0C8F3736" w14:textId="77777777" w:rsidTr="006D03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0F9A1BA" w14:textId="77777777" w:rsidR="00143D00" w:rsidRPr="006D0332" w:rsidRDefault="00143D00" w:rsidP="006D0332">
            <w:pPr>
              <w:spacing w:before="0" w:after="0" w:line="240" w:lineRule="auto"/>
              <w:rPr>
                <w:sz w:val="20"/>
                <w:szCs w:val="20"/>
                <w:lang w:val="es-MX"/>
              </w:rPr>
            </w:pPr>
            <w:r w:rsidRPr="006D0332">
              <w:rPr>
                <w:sz w:val="20"/>
                <w:szCs w:val="20"/>
                <w:lang w:val="es-MX"/>
              </w:rPr>
              <w:t>Bajo</w:t>
            </w:r>
          </w:p>
        </w:tc>
        <w:tc>
          <w:tcPr>
            <w:tcW w:w="2098" w:type="dxa"/>
            <w:vAlign w:val="center"/>
            <w:hideMark/>
          </w:tcPr>
          <w:p w14:paraId="23BE1A2A"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Apoyo lingüístico sobre información pública</w:t>
            </w:r>
          </w:p>
        </w:tc>
        <w:tc>
          <w:tcPr>
            <w:tcW w:w="2098" w:type="dxa"/>
            <w:vAlign w:val="center"/>
            <w:hideMark/>
          </w:tcPr>
          <w:p w14:paraId="4EFE7C92"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Información de uso y verificación básica</w:t>
            </w:r>
          </w:p>
        </w:tc>
        <w:tc>
          <w:tcPr>
            <w:tcW w:w="2098" w:type="dxa"/>
            <w:vAlign w:val="center"/>
            <w:hideMark/>
          </w:tcPr>
          <w:p w14:paraId="13FDD98A"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Autorización ordinaria</w:t>
            </w:r>
          </w:p>
        </w:tc>
      </w:tr>
      <w:tr w:rsidR="00143D00" w:rsidRPr="00143D00" w14:paraId="158C9492" w14:textId="77777777" w:rsidTr="006D0332">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D45CF4F" w14:textId="77777777" w:rsidR="00143D00" w:rsidRPr="006D0332" w:rsidRDefault="00143D00" w:rsidP="006D0332">
            <w:pPr>
              <w:spacing w:before="0" w:after="0" w:line="240" w:lineRule="auto"/>
              <w:rPr>
                <w:sz w:val="20"/>
                <w:szCs w:val="20"/>
                <w:lang w:val="es-MX"/>
              </w:rPr>
            </w:pPr>
            <w:r w:rsidRPr="006D0332">
              <w:rPr>
                <w:sz w:val="20"/>
                <w:szCs w:val="20"/>
                <w:lang w:val="es-MX"/>
              </w:rPr>
              <w:t>Moderado</w:t>
            </w:r>
          </w:p>
        </w:tc>
        <w:tc>
          <w:tcPr>
            <w:tcW w:w="2098" w:type="dxa"/>
            <w:vAlign w:val="center"/>
            <w:hideMark/>
          </w:tcPr>
          <w:p w14:paraId="2A2EE87C"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Asistente institucional o recomendación académica</w:t>
            </w:r>
          </w:p>
        </w:tc>
        <w:tc>
          <w:tcPr>
            <w:tcW w:w="2098" w:type="dxa"/>
            <w:vAlign w:val="center"/>
            <w:hideMark/>
          </w:tcPr>
          <w:p w14:paraId="6499AE58"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Pruebas, privacidad, accesibilidad y supervisión</w:t>
            </w:r>
          </w:p>
        </w:tc>
        <w:tc>
          <w:tcPr>
            <w:tcW w:w="2098" w:type="dxa"/>
            <w:vAlign w:val="center"/>
            <w:hideMark/>
          </w:tcPr>
          <w:p w14:paraId="76C242E0"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Aprobación de unidad responsable</w:t>
            </w:r>
          </w:p>
        </w:tc>
      </w:tr>
      <w:tr w:rsidR="00143D00" w:rsidRPr="00143D00" w14:paraId="70221129" w14:textId="77777777" w:rsidTr="006D03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D2C6EFE" w14:textId="77777777" w:rsidR="00143D00" w:rsidRPr="006D0332" w:rsidRDefault="00143D00" w:rsidP="006D0332">
            <w:pPr>
              <w:spacing w:before="0" w:after="0" w:line="240" w:lineRule="auto"/>
              <w:rPr>
                <w:sz w:val="20"/>
                <w:szCs w:val="20"/>
                <w:lang w:val="es-MX"/>
              </w:rPr>
            </w:pPr>
            <w:r w:rsidRPr="006D0332">
              <w:rPr>
                <w:sz w:val="20"/>
                <w:szCs w:val="20"/>
                <w:lang w:val="es-MX"/>
              </w:rPr>
              <w:lastRenderedPageBreak/>
              <w:t>Alto</w:t>
            </w:r>
          </w:p>
        </w:tc>
        <w:tc>
          <w:tcPr>
            <w:tcW w:w="2098" w:type="dxa"/>
            <w:vAlign w:val="center"/>
            <w:hideMark/>
          </w:tcPr>
          <w:p w14:paraId="3CAAEAD4"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Selección, sanción, bienestar o datos sensibles</w:t>
            </w:r>
          </w:p>
        </w:tc>
        <w:tc>
          <w:tcPr>
            <w:tcW w:w="2098" w:type="dxa"/>
            <w:vAlign w:val="center"/>
            <w:hideMark/>
          </w:tcPr>
          <w:p w14:paraId="03FF97B8"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Evaluación de impacto, auditoría, apelación y monitoreo reforzado</w:t>
            </w:r>
          </w:p>
        </w:tc>
        <w:tc>
          <w:tcPr>
            <w:tcW w:w="2098" w:type="dxa"/>
            <w:vAlign w:val="center"/>
            <w:hideMark/>
          </w:tcPr>
          <w:p w14:paraId="7F6C1301" w14:textId="77777777" w:rsidR="00143D00" w:rsidRPr="006D0332" w:rsidRDefault="00143D00" w:rsidP="006D033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6D0332">
              <w:rPr>
                <w:sz w:val="20"/>
                <w:szCs w:val="20"/>
                <w:lang w:val="es-MX"/>
              </w:rPr>
              <w:t>Aprobación colegiada y piloto controlado</w:t>
            </w:r>
          </w:p>
        </w:tc>
      </w:tr>
      <w:tr w:rsidR="00143D00" w:rsidRPr="00143D00" w14:paraId="5580B353" w14:textId="77777777" w:rsidTr="006D0332">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5F93F37" w14:textId="77777777" w:rsidR="00143D00" w:rsidRPr="006D0332" w:rsidRDefault="00143D00" w:rsidP="006D0332">
            <w:pPr>
              <w:spacing w:before="0" w:after="0" w:line="240" w:lineRule="auto"/>
              <w:rPr>
                <w:sz w:val="20"/>
                <w:szCs w:val="20"/>
                <w:lang w:val="es-MX"/>
              </w:rPr>
            </w:pPr>
            <w:r w:rsidRPr="006D0332">
              <w:rPr>
                <w:sz w:val="20"/>
                <w:szCs w:val="20"/>
                <w:lang w:val="es-MX"/>
              </w:rPr>
              <w:t>Inaceptable</w:t>
            </w:r>
          </w:p>
        </w:tc>
        <w:tc>
          <w:tcPr>
            <w:tcW w:w="2098" w:type="dxa"/>
            <w:vAlign w:val="center"/>
            <w:hideMark/>
          </w:tcPr>
          <w:p w14:paraId="25FAFB6C"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Suplantación, vigilancia intrusiva o decisión sin recurso</w:t>
            </w:r>
          </w:p>
        </w:tc>
        <w:tc>
          <w:tcPr>
            <w:tcW w:w="2098" w:type="dxa"/>
            <w:vAlign w:val="center"/>
            <w:hideMark/>
          </w:tcPr>
          <w:p w14:paraId="288C1AEE"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Prohibición y controles preventivos</w:t>
            </w:r>
          </w:p>
        </w:tc>
        <w:tc>
          <w:tcPr>
            <w:tcW w:w="2098" w:type="dxa"/>
            <w:vAlign w:val="center"/>
            <w:hideMark/>
          </w:tcPr>
          <w:p w14:paraId="21F1D4E2" w14:textId="77777777" w:rsidR="00143D00" w:rsidRPr="006D0332" w:rsidRDefault="00143D00" w:rsidP="006D033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6D0332">
              <w:rPr>
                <w:sz w:val="20"/>
                <w:szCs w:val="20"/>
                <w:lang w:val="es-MX"/>
              </w:rPr>
              <w:t>No desplegar o retirar</w:t>
            </w:r>
          </w:p>
        </w:tc>
      </w:tr>
    </w:tbl>
    <w:p w14:paraId="456C4D18" w14:textId="77777777" w:rsidR="00143D00" w:rsidRPr="00143D00" w:rsidRDefault="00143D00" w:rsidP="00143D00">
      <w:pPr>
        <w:rPr>
          <w:lang w:val="es-MX"/>
        </w:rPr>
      </w:pPr>
      <w:r w:rsidRPr="00143D00">
        <w:rPr>
          <w:i/>
          <w:iCs/>
          <w:lang w:val="es-MX"/>
        </w:rPr>
        <w:t>Fuente: elaboración propia a partir de las referencias citadas en el apartado.</w:t>
      </w:r>
    </w:p>
    <w:p w14:paraId="66D678AB" w14:textId="23BF43D8" w:rsidR="00143D00" w:rsidRPr="00143D00" w:rsidRDefault="00143D00" w:rsidP="006D0332">
      <w:pPr>
        <w:pStyle w:val="Ttulo3"/>
        <w:rPr>
          <w:lang w:val="es-MX"/>
        </w:rPr>
      </w:pPr>
      <w:bookmarkStart w:id="119" w:name="_Toc239440976"/>
      <w:r w:rsidRPr="00143D00">
        <w:rPr>
          <w:lang w:val="es-MX"/>
        </w:rPr>
        <w:t>Pilotos, monitoreo, documentación, supervisión y reclamación</w:t>
      </w:r>
      <w:bookmarkEnd w:id="119"/>
    </w:p>
    <w:p w14:paraId="4CE027FD" w14:textId="77777777" w:rsidR="00143D00" w:rsidRPr="00143D00" w:rsidRDefault="00143D00" w:rsidP="00143D00">
      <w:pPr>
        <w:rPr>
          <w:lang w:val="es-MX"/>
        </w:rPr>
      </w:pPr>
      <w:r w:rsidRPr="00143D00">
        <w:rPr>
          <w:lang w:val="es-MX"/>
        </w:rPr>
        <w:t>El piloto debe proteger a participantes y producir aprendizaje institucional. Se delimita población, duración, comparación, indicadores y criterios de detención. Las personas conocen que participan, salvo una justificación ética diferente. Se ofrece alternativa cuando el servicio no es imprescindible. Los resultados incluyen errores, efectos por grupos, carga humana, accesibilidad y experiencia. Un piloto exitoso técnicamente puede fracasar pedagógica o socialmente. Escalar depende de evidencia, no de inversión ya realizada (UNESCO, 2021; OECD, 2026).</w:t>
      </w:r>
    </w:p>
    <w:p w14:paraId="4E6AF604" w14:textId="77777777" w:rsidR="00143D00" w:rsidRPr="00143D00" w:rsidRDefault="00143D00" w:rsidP="00143D00">
      <w:pPr>
        <w:rPr>
          <w:lang w:val="es-MX"/>
        </w:rPr>
      </w:pPr>
      <w:r w:rsidRPr="00143D00">
        <w:rPr>
          <w:lang w:val="es-MX"/>
        </w:rPr>
        <w:t>El monitoreo observa degradación, cambios y consecuencias. Se controlan rendimiento, fallos, quejas, anulaciones humanas, accesos, incidentes y distribución de resultados. Los umbrales activan revisión o suspensión. Las métricas se seleccionan antes para evitar justificar después. También se analiza si el sistema modifica comportamiento, carga o confianza. Los informes llegan a responsables capaces de actuar. Monitorear sin respuesta definida solo acumula datos y puede aumentar exposición (Raji et al., 2020; Tabassi, 2023).</w:t>
      </w:r>
    </w:p>
    <w:p w14:paraId="786CE0E0" w14:textId="77777777" w:rsidR="00143D00" w:rsidRPr="00143D00" w:rsidRDefault="00143D00" w:rsidP="00143D00">
      <w:pPr>
        <w:rPr>
          <w:lang w:val="es-MX"/>
        </w:rPr>
      </w:pPr>
      <w:r w:rsidRPr="00143D00">
        <w:rPr>
          <w:lang w:val="es-MX"/>
        </w:rPr>
        <w:t>La documentación sustenta trazabilidad. Se conservan versiones, configuraciones, fuentes, pruebas, decisiones, responsables y cambios. En sistemas generativos se registran instrucciones institucionales, bases de conocimiento y límites. La documentación debe permitir reconstruir por qué se tomó una decisión sin conservar más datos personales de los necesarios. También distingue entre información técnica, guía operativa y explicación pública. Una organización que no puede describir su sistema difícilmente puede supervisarlo o defender su legitimidad (Kroll et al., 2017; Autio et al., 2024).</w:t>
      </w:r>
    </w:p>
    <w:p w14:paraId="03FBE106" w14:textId="77777777" w:rsidR="00143D00" w:rsidRPr="00143D00" w:rsidRDefault="00143D00" w:rsidP="00143D00">
      <w:pPr>
        <w:rPr>
          <w:lang w:val="es-MX"/>
        </w:rPr>
      </w:pPr>
      <w:r w:rsidRPr="00143D00">
        <w:rPr>
          <w:lang w:val="es-MX"/>
        </w:rPr>
        <w:t xml:space="preserve">La supervisión humana se diseña como proceso. La política determina qué decisiones no pueden automatizarse, qué información recibe el revisor, cuándo debe intervenir y cómo documenta discrepancias. Las personas necesitan formación y una carga compatible con atención real. Deben poder detener o revertir sin represalias. También se audita la tendencia a confirmar recomendaciones. La responsabilidad no se transfiere al usuario final si la institución le entrega una herramienta opaca y metas que favorecen aceptación rápida (Parasuraman &amp; Riley, 1997; </w:t>
      </w:r>
      <w:proofErr w:type="spellStart"/>
      <w:r w:rsidRPr="00143D00">
        <w:rPr>
          <w:lang w:val="es-MX"/>
        </w:rPr>
        <w:t>Dignum</w:t>
      </w:r>
      <w:proofErr w:type="spellEnd"/>
      <w:r w:rsidRPr="00143D00">
        <w:rPr>
          <w:lang w:val="es-MX"/>
        </w:rPr>
        <w:t>, 2019).</w:t>
      </w:r>
    </w:p>
    <w:p w14:paraId="70F4492A" w14:textId="77777777" w:rsidR="00143D00" w:rsidRPr="00143D00" w:rsidRDefault="00143D00" w:rsidP="00143D00">
      <w:pPr>
        <w:rPr>
          <w:lang w:val="es-MX"/>
        </w:rPr>
      </w:pPr>
      <w:r w:rsidRPr="00143D00">
        <w:rPr>
          <w:lang w:val="es-MX"/>
        </w:rPr>
        <w:t xml:space="preserve">Los canales de reclamación deben ser visibles, accesibles y seguros. Una persona puede cuestionar datos, resultado, proceso o trato recibido. No necesita conocer el nombre del algoritmo ni demostrar un defecto técnico. La unidad responde en plazo, preserva evidencia y evita </w:t>
      </w:r>
      <w:r w:rsidRPr="00143D00">
        <w:rPr>
          <w:lang w:val="es-MX"/>
        </w:rPr>
        <w:lastRenderedPageBreak/>
        <w:t>represalias. Casos complejos escalan a una instancia independiente. Los aprendizajes alimentan cambios y reparación colectiva cuando existe un patrón. La transparencia incluye publicar información agregada sobre reclamaciones y medidas, con protección de identidad (Citron &amp; Pasquale, 2014; UNESCO, 2021).</w:t>
      </w:r>
    </w:p>
    <w:p w14:paraId="66A7D3FB" w14:textId="66B811A5" w:rsidR="00143D00" w:rsidRPr="00143D00" w:rsidRDefault="00143D00" w:rsidP="006D0332">
      <w:pPr>
        <w:pStyle w:val="Ttulo3"/>
        <w:rPr>
          <w:lang w:val="es-MX"/>
        </w:rPr>
      </w:pPr>
      <w:bookmarkStart w:id="120" w:name="_Toc239440977"/>
      <w:r w:rsidRPr="00143D00">
        <w:rPr>
          <w:lang w:val="es-MX"/>
        </w:rPr>
        <w:t>Formación, comunicación, coordinación y evaluación de políticas</w:t>
      </w:r>
      <w:bookmarkEnd w:id="120"/>
    </w:p>
    <w:p w14:paraId="4F7C2A9C" w14:textId="77777777" w:rsidR="00143D00" w:rsidRPr="00143D00" w:rsidRDefault="00143D00" w:rsidP="00143D00">
      <w:pPr>
        <w:rPr>
          <w:lang w:val="es-MX"/>
        </w:rPr>
      </w:pPr>
      <w:r w:rsidRPr="00143D00">
        <w:rPr>
          <w:lang w:val="es-MX"/>
        </w:rPr>
        <w:t>La formación debe diferenciar roles. El estudiantado aprende integridad, verificación, privacidad y declaración. El profesorado aprende diseño de actividades, evaluación y acompañamiento. El personal administrativo conoce clasificación de datos, excepciones y supervisión. Directivos comprenden riesgo, contratación y rendición de cuentas. Equipos técnicos profundizan en seguridad, validación y monitoreo. La capacitación combina principios con casos reales y se actualiza. La alfabetización no sustituye controles organizativos, pero permite utilizarlos y detectar problemas (Miao &amp; Holmes, 2023; OECD, 2026).</w:t>
      </w:r>
    </w:p>
    <w:p w14:paraId="697B881F" w14:textId="77777777" w:rsidR="00143D00" w:rsidRPr="00143D00" w:rsidRDefault="00143D00" w:rsidP="00143D00">
      <w:pPr>
        <w:rPr>
          <w:lang w:val="es-MX"/>
        </w:rPr>
      </w:pPr>
      <w:r w:rsidRPr="00143D00">
        <w:rPr>
          <w:lang w:val="es-MX"/>
        </w:rPr>
        <w:t>La comunicación institucional debe evitar tanto entusiasmo acrítico como alarma. Explica oportunidades, límites, herramientas aprobadas, reglas y canales. Cuando ocurre un error, informa hechos confirmados, acciones y próximos pasos. Las orientaciones se mantienen en un sitio único y sus versiones son visibles. Los mensajes no presentan a la inteligencia artificial como sujeto responsable. Nombran a la unidad y a la autoridad que decide. Una comunicación honesta fortalece confianza y permite que la comunidad participe con expectativas realistas (UNESCO, 2021; OECD, 2023).</w:t>
      </w:r>
    </w:p>
    <w:p w14:paraId="43220B37" w14:textId="77777777" w:rsidR="00143D00" w:rsidRPr="00143D00" w:rsidRDefault="00143D00" w:rsidP="00143D00">
      <w:pPr>
        <w:rPr>
          <w:lang w:val="es-MX"/>
        </w:rPr>
      </w:pPr>
      <w:r w:rsidRPr="00143D00">
        <w:rPr>
          <w:lang w:val="es-MX"/>
        </w:rPr>
        <w:t>La coordinación entre políticas evita vacíos. Integridad, privacidad, seguridad, accesibilidad, investigación y recursos humanos deben referirse mutuamente. Un comité no sustituye a responsables especializados. Los flujos indican a quién consultar y cómo resolver conflictos. Por ejemplo, una herramienta puede ser pedagógicamente útil y jurídicamente inadecuada, o segura y poco accesible. La decisión integra dimensiones y documenta compensaciones. Ninguna unidad debería aprobar por sí sola un uso que afecta derechos amplios (</w:t>
      </w:r>
      <w:proofErr w:type="spellStart"/>
      <w:r w:rsidRPr="00143D00">
        <w:rPr>
          <w:lang w:val="es-MX"/>
        </w:rPr>
        <w:t>Dignum</w:t>
      </w:r>
      <w:proofErr w:type="spellEnd"/>
      <w:r w:rsidRPr="00143D00">
        <w:rPr>
          <w:lang w:val="es-MX"/>
        </w:rPr>
        <w:t>, 2019; Selbst et al., 2019).</w:t>
      </w:r>
    </w:p>
    <w:p w14:paraId="0C1523C9" w14:textId="77777777" w:rsidR="00143D00" w:rsidRPr="00143D00" w:rsidRDefault="00143D00" w:rsidP="00143D00">
      <w:pPr>
        <w:rPr>
          <w:lang w:val="es-MX"/>
        </w:rPr>
      </w:pPr>
      <w:r w:rsidRPr="00143D00">
        <w:rPr>
          <w:lang w:val="es-MX"/>
        </w:rPr>
        <w:t>La rendición de cuentas combina información pública, auditoría y responsabilidad interna. La universidad puede publicar principios, inventario resumido, criterios, evaluaciones y resultados agregados. La transparencia no exige revelar datos personales ni defensas de seguridad. Los órganos de gobierno reciben reportes periódicos y actúan ante desviaciones. Las autoridades explican por qué aceptan un riesgo y qué medidas lo limitan. Delegar en un proveedor o comité no elimina la responsabilidad institucional frente a estudiantes, trabajadores y sociedad (Kroll et al., 2017; UNESCO, 2021).</w:t>
      </w:r>
    </w:p>
    <w:p w14:paraId="220A9197" w14:textId="77777777" w:rsidR="00143D00" w:rsidRPr="00143D00" w:rsidRDefault="00143D00" w:rsidP="00143D00">
      <w:pPr>
        <w:rPr>
          <w:lang w:val="es-MX"/>
        </w:rPr>
      </w:pPr>
      <w:r w:rsidRPr="00143D00">
        <w:rPr>
          <w:lang w:val="es-MX"/>
        </w:rPr>
        <w:t xml:space="preserve">La política necesita evaluación periódica. Se revisan comprensión, aplicación, incidentes, desigualdades, innovación y cambios normativos. Participan quienes han utilizado, rechazado o </w:t>
      </w:r>
      <w:r w:rsidRPr="00143D00">
        <w:rPr>
          <w:lang w:val="es-MX"/>
        </w:rPr>
        <w:lastRenderedPageBreak/>
        <w:t>sufrido efectos de las herramientas. La revisión puede retirar prohibiciones innecesarias, añadir salvaguardas o suspender usos. Las versiones se comunican y existe un periodo de adaptación. La flexibilidad responsable no significa improvisación, sino un ciclo explícito de aprendizaje, evidencia y decisión (Tabassi, 2023; OECD, 2026).</w:t>
      </w:r>
    </w:p>
    <w:p w14:paraId="0A8010D8" w14:textId="2C68E7E5" w:rsidR="006D0332" w:rsidRDefault="00143D00" w:rsidP="00143D00">
      <w:pPr>
        <w:rPr>
          <w:lang w:val="es-MX"/>
        </w:rPr>
      </w:pPr>
      <w:r w:rsidRPr="00143D00">
        <w:rPr>
          <w:lang w:val="es-MX"/>
        </w:rPr>
        <w:t>Una hoja de ruta puede avanzar por etapas. Primero se inventarían sistemas y se publican orientaciones básicas. Luego se clasifican riesgos, revisan contratos y forman responsables. Después se implementan evaluaciones, monitoreo y auditoría. Las prioridades atienden usos de mayor impacto y datos más sensibles. Cada etapa tiene recursos, responsables y resultados. La institución no necesita esperar una política perfecta para proteger, pero tampoco debe escalar sin estructura. La madurez se construye mediante decisiones coherentes y verificables (Tabassi, 2023; UNESCO, 2021).</w:t>
      </w:r>
    </w:p>
    <w:p w14:paraId="215F5E59" w14:textId="503AD4BE" w:rsidR="000D3FFD" w:rsidRDefault="000D3FFD" w:rsidP="00143D00">
      <w:pPr>
        <w:rPr>
          <w:lang w:val="es-MX"/>
        </w:rPr>
      </w:pPr>
      <w:r>
        <w:rPr>
          <w:noProof/>
          <w:lang w:val="es-MX"/>
        </w:rPr>
        <w:drawing>
          <wp:inline distT="0" distB="0" distL="0" distR="0" wp14:anchorId="7A650D3B" wp14:editId="12578594">
            <wp:extent cx="5391150" cy="3600450"/>
            <wp:effectExtent l="0" t="0" r="0" b="0"/>
            <wp:docPr id="736612294"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14:paraId="4F9503AC" w14:textId="77777777" w:rsidR="006D0332" w:rsidRDefault="006D0332">
      <w:pPr>
        <w:spacing w:before="0" w:after="160" w:line="278" w:lineRule="auto"/>
        <w:jc w:val="left"/>
        <w:rPr>
          <w:lang w:val="es-MX"/>
        </w:rPr>
      </w:pPr>
      <w:r>
        <w:rPr>
          <w:lang w:val="es-MX"/>
        </w:rPr>
        <w:br w:type="page"/>
      </w:r>
    </w:p>
    <w:p w14:paraId="68CAD9AC" w14:textId="62D7E91F" w:rsidR="00E85658" w:rsidRDefault="00E85658" w:rsidP="00957333">
      <w:pPr>
        <w:pStyle w:val="Ttulo1"/>
      </w:pPr>
      <w:bookmarkStart w:id="121" w:name="_Toc239440978"/>
      <w:r w:rsidRPr="00E85658">
        <w:lastRenderedPageBreak/>
        <w:t xml:space="preserve">Capítulo </w:t>
      </w:r>
      <w:r w:rsidR="00FA6F60">
        <w:t>6</w:t>
      </w:r>
      <w:r>
        <w:t xml:space="preserve"> </w:t>
      </w:r>
      <w:r w:rsidRPr="00E85658">
        <w:t>Inclusión, accesibilidad y brecha digital</w:t>
      </w:r>
      <w:bookmarkEnd w:id="121"/>
      <w:r>
        <w:t xml:space="preserve"> </w:t>
      </w:r>
    </w:p>
    <w:p w14:paraId="3F8AF1A1" w14:textId="77777777" w:rsidR="00E85658" w:rsidRDefault="00E85658">
      <w:pPr>
        <w:spacing w:before="0" w:after="160" w:line="278" w:lineRule="auto"/>
        <w:jc w:val="left"/>
        <w:rPr>
          <w:b/>
          <w:bCs/>
          <w:lang w:val="es-MX"/>
        </w:rPr>
      </w:pPr>
      <w:r>
        <w:rPr>
          <w:b/>
          <w:bCs/>
          <w:lang w:val="es-MX"/>
        </w:rPr>
        <w:br w:type="page"/>
      </w:r>
    </w:p>
    <w:p w14:paraId="420DEEF5" w14:textId="77777777" w:rsidR="005575F8" w:rsidRPr="005575F8" w:rsidRDefault="005575F8" w:rsidP="005575F8">
      <w:pPr>
        <w:jc w:val="center"/>
        <w:rPr>
          <w:sz w:val="28"/>
          <w:szCs w:val="28"/>
          <w:lang w:val="es-MX"/>
        </w:rPr>
      </w:pPr>
      <w:r w:rsidRPr="005575F8">
        <w:rPr>
          <w:b/>
          <w:bCs/>
          <w:sz w:val="28"/>
          <w:szCs w:val="28"/>
          <w:lang w:val="es-MX"/>
        </w:rPr>
        <w:lastRenderedPageBreak/>
        <w:t>Introducción</w:t>
      </w:r>
    </w:p>
    <w:p w14:paraId="2B94FD07" w14:textId="77777777" w:rsidR="005575F8" w:rsidRPr="005575F8" w:rsidRDefault="005575F8" w:rsidP="005575F8">
      <w:pPr>
        <w:rPr>
          <w:lang w:val="es-MX"/>
        </w:rPr>
      </w:pPr>
      <w:r w:rsidRPr="005575F8">
        <w:rPr>
          <w:lang w:val="es-MX"/>
        </w:rPr>
        <w:t xml:space="preserve">La expansión de la inteligencia artificial en la educación superior suele describirse mediante sus capacidades para personalizar contenidos, automatizar tareas y ampliar la disponibilidad de apoyo académico. Sin embargo, ninguna de esas posibilidades es inclusiva por sí misma. Un sistema puede estar disponible para miles de estudiantes y, al mismo tiempo, resultar inaccesible para quienes dependen de lectores de pantalla, disponen de conectividad intermitente, comparten un teléfono con su familia, estudian en una lengua distinta de la dominante o no pueden asumir el costo de una suscripción. Por ello, la inclusión debe considerarse una condición del diseño y no una consecuencia esperada de la innovación. La pregunta decisiva no es cuánta tecnología incorpora la universidad, sino quién puede utilizarla, para qué fines y </w:t>
      </w:r>
      <w:proofErr w:type="gramStart"/>
      <w:r w:rsidRPr="005575F8">
        <w:rPr>
          <w:lang w:val="es-MX"/>
        </w:rPr>
        <w:t>bajo qué condiciones</w:t>
      </w:r>
      <w:proofErr w:type="gramEnd"/>
      <w:r w:rsidRPr="005575F8">
        <w:rPr>
          <w:lang w:val="es-MX"/>
        </w:rPr>
        <w:t xml:space="preserve"> de autonomía, seguridad y reconocimiento.</w:t>
      </w:r>
    </w:p>
    <w:p w14:paraId="0DBBCF16" w14:textId="77777777" w:rsidR="005575F8" w:rsidRPr="005575F8" w:rsidRDefault="005575F8" w:rsidP="005575F8">
      <w:pPr>
        <w:rPr>
          <w:lang w:val="es-MX"/>
        </w:rPr>
      </w:pPr>
      <w:r w:rsidRPr="005575F8">
        <w:rPr>
          <w:lang w:val="es-MX"/>
        </w:rPr>
        <w:t>La brecha digital es un fenómeno multidimensional. Comprende diferencias de conectividad y equipamiento, pero también desigualdades en habilidades, calidad de uso, apoyo social y resultados obtenidos. El acceso físico constituye apenas el primer umbral. Después aparecen la asequibilidad, la estabilidad del servicio, la compatibilidad con tecnologías de apoyo, la alfabetización digital, la disponibilidad de tiempo y la capacidad para comprender cómo un sistema automatizado produce sus recomendaciones. Estas dimensiones se entrecruzan con la pobreza, la ruralidad, el género, la discapacidad, la edad, la pertenencia étnica, la migración y las responsabilidades de cuidado. En consecuencia, una política basada solo en entregar dispositivos puede mejorar un indicador y dejar intactas las causas que limitan la participación educativa (Helsper, 2021; van Dijk, 2020).</w:t>
      </w:r>
    </w:p>
    <w:p w14:paraId="790434CA" w14:textId="77777777" w:rsidR="005575F8" w:rsidRPr="005575F8" w:rsidRDefault="005575F8" w:rsidP="005575F8">
      <w:pPr>
        <w:rPr>
          <w:lang w:val="es-MX"/>
        </w:rPr>
      </w:pPr>
      <w:r w:rsidRPr="005575F8">
        <w:rPr>
          <w:lang w:val="es-MX"/>
        </w:rPr>
        <w:t xml:space="preserve">La accesibilidad digital convierte este diagnóstico en obligaciones de diseño. Los entornos virtuales, documentos, videos, formularios, sistemas de matrícula, bibliotecas y asistentes de inteligencia artificial deben poder ser percibidos, operados y comprendidos por personas con capacidades y formas de interacción diversas. Las Pautas de Accesibilidad para el Contenido Web organizan esta exigencia mediante los principios de perceptibilidad, operabilidad, comprensibilidad y robustez (World Wide Web </w:t>
      </w:r>
      <w:proofErr w:type="spellStart"/>
      <w:r w:rsidRPr="005575F8">
        <w:rPr>
          <w:lang w:val="es-MX"/>
        </w:rPr>
        <w:t>Consortium</w:t>
      </w:r>
      <w:proofErr w:type="spellEnd"/>
      <w:r w:rsidRPr="005575F8">
        <w:rPr>
          <w:lang w:val="es-MX"/>
        </w:rPr>
        <w:t>, 2023). En el ámbito educativo, tales principios se complementan con el Diseño Universal para el Aprendizaje, que propone múltiples formas de implicación, representación y acción. La accesibilidad técnica y la flexibilidad pedagógica no son equivalentes, pero juntas permiten que más estudiantes participen sin depender de excepciones tardías (CAST, 2024).</w:t>
      </w:r>
    </w:p>
    <w:p w14:paraId="316A1342" w14:textId="03D9C5DD" w:rsidR="00957333" w:rsidRDefault="00957333">
      <w:pPr>
        <w:spacing w:before="0" w:after="160" w:line="278" w:lineRule="auto"/>
        <w:jc w:val="left"/>
        <w:rPr>
          <w:lang w:val="es-MX"/>
        </w:rPr>
      </w:pPr>
      <w:r>
        <w:rPr>
          <w:lang w:val="es-MX"/>
        </w:rPr>
        <w:br w:type="page"/>
      </w:r>
    </w:p>
    <w:p w14:paraId="4D7197C7" w14:textId="521D521C" w:rsidR="005575F8" w:rsidRPr="005575F8" w:rsidRDefault="005575F8" w:rsidP="00957333">
      <w:pPr>
        <w:pStyle w:val="Ttulo2"/>
        <w:rPr>
          <w:lang w:val="es-MX"/>
        </w:rPr>
      </w:pPr>
      <w:bookmarkStart w:id="122" w:name="_Toc239440979"/>
      <w:r w:rsidRPr="005575F8">
        <w:rPr>
          <w:lang w:val="es-MX"/>
        </w:rPr>
        <w:lastRenderedPageBreak/>
        <w:t>Acceso equitativo a tecnologías</w:t>
      </w:r>
      <w:bookmarkEnd w:id="122"/>
    </w:p>
    <w:p w14:paraId="19D88E1A" w14:textId="4C80D2FA" w:rsidR="005575F8" w:rsidRPr="005575F8" w:rsidRDefault="005575F8" w:rsidP="00957333">
      <w:pPr>
        <w:pStyle w:val="Ttulo3"/>
        <w:rPr>
          <w:lang w:val="es-MX"/>
        </w:rPr>
      </w:pPr>
      <w:bookmarkStart w:id="123" w:name="_Toc239440980"/>
      <w:r w:rsidRPr="005575F8">
        <w:rPr>
          <w:lang w:val="es-MX"/>
        </w:rPr>
        <w:t>Acceso efectivo, diagnóstico y garantía institucional</w:t>
      </w:r>
      <w:bookmarkEnd w:id="123"/>
    </w:p>
    <w:p w14:paraId="23D04900" w14:textId="77777777" w:rsidR="005575F8" w:rsidRPr="005575F8" w:rsidRDefault="005575F8" w:rsidP="005575F8">
      <w:pPr>
        <w:rPr>
          <w:lang w:val="es-MX"/>
        </w:rPr>
      </w:pPr>
      <w:r w:rsidRPr="005575F8">
        <w:rPr>
          <w:lang w:val="es-MX"/>
        </w:rPr>
        <w:t>El acceso como capacidad efectiva. El acceso equitativo significa que cada persona puede usar los recursos digitales necesarios para aprender, investigar y participar la conexión, el dispositivo y la cuenta de usuario solo adquieren valor educativo cuando son confiables, asequibles y compatibles con las actividades del curso. La disponibilidad formal, por sí sola, no demuestra que el recurso pueda utilizarse de manera continua, autónoma y académicamente provechosa. Una plataforma exigente puede excluir aunque figure como disponible en el inventario institucional. Los promedios institucionales pueden ocultar diferencias sistemáticas entre territorios, grupos y modalidades de estudio. La literatura sobre inclusión digital muestra que recursos similares producen beneficios distintos cuando varían las habilidades y los apoyos disponibles (Warschauer, 2004; van Dijk, 2020).</w:t>
      </w:r>
    </w:p>
    <w:p w14:paraId="088D3868" w14:textId="77777777" w:rsidR="005575F8" w:rsidRPr="005575F8" w:rsidRDefault="005575F8" w:rsidP="005575F8">
      <w:pPr>
        <w:rPr>
          <w:lang w:val="es-MX"/>
        </w:rPr>
      </w:pPr>
      <w:r w:rsidRPr="005575F8">
        <w:rPr>
          <w:lang w:val="es-MX"/>
        </w:rPr>
        <w:t>La respuesta institucional consiste en realizar diagnósticos periódicos de barreras y garantizar un conjunto básico de conectividad, equipo, software y asistencia Su aplicación requiere coordinar docencia, tecnología, bienestar, bibliotecas y gestión, pues ninguna unidad controla por sí sola toda la experiencia. El avance puede examinarse mediante tasas desagregadas de acceso, continuidad, abandono y satisfacción, acompañadas por testimonios de uso Las autoridades académicas deben interpretar estos resultados junto con estudiantes, docentes y unidades de bienestar. Los hallazgos deben vincularse con decisiones presupuestarias y no limitarse a un informe descriptivo.</w:t>
      </w:r>
    </w:p>
    <w:p w14:paraId="2CB9921F" w14:textId="77777777" w:rsidR="005575F8" w:rsidRPr="005575F8" w:rsidRDefault="005575F8" w:rsidP="005575F8">
      <w:pPr>
        <w:rPr>
          <w:lang w:val="es-MX"/>
        </w:rPr>
      </w:pPr>
      <w:r w:rsidRPr="005575F8">
        <w:rPr>
          <w:lang w:val="es-MX"/>
        </w:rPr>
        <w:t xml:space="preserve">Conectividad estable y asequible. En educación superior, la banda ancha se ha convertido en una infraestructura educativa esencial, tanto dentro como fuera del campus una clase híbrida, una videoconferencia o una consulta a un modelo generativo consume datos y exige estabilidad que no está distribuida de forma homogénea. La equidad exige valorar el recorrido completo y no solo confirmar que existe una cuenta, una aplicación o un punto de conexión. Los cortes, la latencia y los límites de datos reducen la participación, fragmentan la atención y convierten cada tarea en un costo adicional. El objetivo educativo debe mantenerse visible para impedir que las exigencias de la herramienta sustituyan los resultados de aprendizaje. Aunque la conectividad mundial continúa aumentando, miles de millones de personas permanecen desconectadas y las diferencias de calidad persisten (International </w:t>
      </w:r>
      <w:proofErr w:type="spellStart"/>
      <w:r w:rsidRPr="005575F8">
        <w:rPr>
          <w:lang w:val="es-MX"/>
        </w:rPr>
        <w:t>Telecommunication</w:t>
      </w:r>
      <w:proofErr w:type="spellEnd"/>
      <w:r w:rsidRPr="005575F8">
        <w:rPr>
          <w:lang w:val="es-MX"/>
        </w:rPr>
        <w:t xml:space="preserve"> Union, 2025).</w:t>
      </w:r>
    </w:p>
    <w:p w14:paraId="66278CC5" w14:textId="77777777" w:rsidR="005575F8" w:rsidRPr="005575F8" w:rsidRDefault="005575F8" w:rsidP="005575F8">
      <w:pPr>
        <w:rPr>
          <w:lang w:val="es-MX"/>
        </w:rPr>
      </w:pPr>
      <w:r w:rsidRPr="005575F8">
        <w:rPr>
          <w:lang w:val="es-MX"/>
        </w:rPr>
        <w:t xml:space="preserve">La respuesta institucional requiere combinar redes universitarias de amplia cobertura con subsidios focalizados, acuerdos comunitarios y alternativas de bajo consumo La acción debe incorporarse a la planificación ordinaria, con presupuesto, responsables, plazos y una vía accesible para comunicar dificultades. El avance puede examinarse mediante registros voluntarios de interrupciones, costos relativos de conexión y actividades que no pudieron completarse La </w:t>
      </w:r>
      <w:r w:rsidRPr="005575F8">
        <w:rPr>
          <w:lang w:val="es-MX"/>
        </w:rPr>
        <w:lastRenderedPageBreak/>
        <w:t>dirección de tecnologías debe coordinar estas acciones con bibliotecas, bienestar estudiantil y gobiernos locales. La transparencia sobre avances y pendientes favorece confianza, aprendizaje organizacional y rendición de cuentas.</w:t>
      </w:r>
    </w:p>
    <w:p w14:paraId="165055C8" w14:textId="6C0D4780" w:rsidR="005575F8" w:rsidRPr="005575F8" w:rsidRDefault="005575F8" w:rsidP="00D34A56">
      <w:pPr>
        <w:pStyle w:val="Ttulo3"/>
        <w:rPr>
          <w:lang w:val="es-MX"/>
        </w:rPr>
      </w:pPr>
      <w:bookmarkStart w:id="124" w:name="_Toc239440981"/>
      <w:r w:rsidRPr="005575F8">
        <w:rPr>
          <w:lang w:val="es-MX"/>
        </w:rPr>
        <w:t>Dispositivos y disponibilidad fuera del campus</w:t>
      </w:r>
      <w:bookmarkEnd w:id="124"/>
    </w:p>
    <w:p w14:paraId="22F7A8EF" w14:textId="77777777" w:rsidR="005575F8" w:rsidRPr="005575F8" w:rsidRDefault="005575F8" w:rsidP="005575F8">
      <w:pPr>
        <w:rPr>
          <w:lang w:val="es-MX"/>
        </w:rPr>
      </w:pPr>
      <w:r w:rsidRPr="005575F8">
        <w:rPr>
          <w:lang w:val="es-MX"/>
        </w:rPr>
        <w:t>Dispositivos adecuados para la tarea. No todos los dispositivos ofrecen las mismas posibilidades de producción académica un teléfono puede servir para mensajería o lectura breve, pero resulta insuficiente para programar, analizar datos, elaborar gráficos o editar documentos extensos con tecnologías de apoyo. La evaluación responsable debe observar la calidad de la experiencia, además del número de usuarios registrados por el sistema. Suponer que poseer un móvil equivale a disponer de un entorno de estudio traslada al estudiante costos, fatiga y menor calidad de trabajo. El acceso significativo exige capacidad de elección y no solamente aceptación de las condiciones definidas por el proveedor. El informe mundial sobre tecnología educativa advierte que las desigualdades de dispositivos y conectividad condicionan los beneficios de la digitalización (UNESCO, 2023).</w:t>
      </w:r>
    </w:p>
    <w:p w14:paraId="1218930C" w14:textId="77777777" w:rsidR="005575F8" w:rsidRPr="005575F8" w:rsidRDefault="005575F8" w:rsidP="005575F8">
      <w:pPr>
        <w:rPr>
          <w:lang w:val="es-MX"/>
        </w:rPr>
      </w:pPr>
      <w:r w:rsidRPr="005575F8">
        <w:rPr>
          <w:lang w:val="es-MX"/>
        </w:rPr>
        <w:t>La respuesta institucional debe comenzar por mantener programas de préstamo, renovación, reparación y acceso extendido a laboratorios con equipos configurables El criterio tiene que formar parte de la garantía de calidad y ser exigible a unidades internas y proveedores externos. El avance puede examinarse mediante relaciones entre tipo de dispositivo, desempeño de tareas, tiempo invertido y solicitudes de apoyo Las facultades deben especificar requerimientos razonables y ofrecer rutas equivalentes cuando una actividad demande recursos especiales. Una mejora demostrable combina desempeño técnico, experiencia de usuario y efectos educativos.</w:t>
      </w:r>
    </w:p>
    <w:p w14:paraId="53CDEC01" w14:textId="77777777" w:rsidR="005575F8" w:rsidRPr="005575F8" w:rsidRDefault="005575F8" w:rsidP="005575F8">
      <w:pPr>
        <w:rPr>
          <w:lang w:val="es-MX"/>
        </w:rPr>
      </w:pPr>
      <w:r w:rsidRPr="005575F8">
        <w:rPr>
          <w:lang w:val="es-MX"/>
        </w:rPr>
        <w:t>Disponibilidad fuera del campus. La experiencia universitaria digital se extiende a hogares, trayectos, lugares de trabajo y comunidades rurales muchos estudiantes combinan estudios con empleo o cuidados, y no pueden depender de horarios restringidos ni de una presencia constante en el campus. La experiencia concreta revela diferencias que suelen desaparecer cuando la institución observa únicamente cifras agregadas. Una actividad accesible solo desde una red o franja horaria privilegiada penaliza circunstancias sociales que no guardan relación con el aprendizaje. Las ventajas prometidas necesitan compararse con los costos de participación, privacidad, aprendizaje y soporte que soportan distintos grupos. La equidad requiere analizar el contexto de uso y no únicamente la existencia formal de infraestructura (Helsper, 2021).</w:t>
      </w:r>
    </w:p>
    <w:p w14:paraId="1DE3C87E" w14:textId="77777777" w:rsidR="005575F8" w:rsidRPr="005575F8" w:rsidRDefault="005575F8" w:rsidP="005575F8">
      <w:pPr>
        <w:rPr>
          <w:lang w:val="es-MX"/>
        </w:rPr>
      </w:pPr>
      <w:r w:rsidRPr="005575F8">
        <w:rPr>
          <w:lang w:val="es-MX"/>
        </w:rPr>
        <w:t xml:space="preserve">La respuesta institucional se concreta al ofrecer descargas, trabajo asincrónico, plazos proporcionados y puntos territoriales de acceso seguro La puesta en práctica necesita reglas de escalamiento para que los problemas repetidos se conviertan en mejoras del sistema. El avance puede examinarse mediante patrones de uso por horario y ubicación, incidencias de conexión y diferencias en la entrega de actividades Los equipos docentes deben diseñar la secuencia </w:t>
      </w:r>
      <w:r w:rsidRPr="005575F8">
        <w:rPr>
          <w:lang w:val="es-MX"/>
        </w:rPr>
        <w:lastRenderedPageBreak/>
        <w:t>considerando la vida real del alumnado y no un usuario permanentemente conectado. Este procedimiento permite abandonar soluciones ineficaces antes de que su uso se vuelva una obligación informal.</w:t>
      </w:r>
    </w:p>
    <w:p w14:paraId="468F535A" w14:textId="6F0839CE" w:rsidR="005575F8" w:rsidRPr="005575F8" w:rsidRDefault="005575F8" w:rsidP="001B5ACE">
      <w:pPr>
        <w:pStyle w:val="Ttulo3"/>
        <w:rPr>
          <w:lang w:val="es-MX"/>
        </w:rPr>
      </w:pPr>
      <w:bookmarkStart w:id="125" w:name="_Toc239440982"/>
      <w:r w:rsidRPr="005575F8">
        <w:rPr>
          <w:lang w:val="es-MX"/>
        </w:rPr>
        <w:t>Asequibilidad y diseño para conectividad limitada</w:t>
      </w:r>
      <w:bookmarkEnd w:id="125"/>
    </w:p>
    <w:p w14:paraId="037D8BC6" w14:textId="77777777" w:rsidR="005575F8" w:rsidRPr="005575F8" w:rsidRDefault="005575F8" w:rsidP="005575F8">
      <w:pPr>
        <w:rPr>
          <w:lang w:val="es-MX"/>
        </w:rPr>
      </w:pPr>
      <w:r w:rsidRPr="005575F8">
        <w:rPr>
          <w:lang w:val="es-MX"/>
        </w:rPr>
        <w:t>Asequibilidad de plataformas y modelos. La incorporación de servicios de inteligencia artificial introduce costos de suscripción, almacenamiento y procesamiento las versiones gratuitas suelen imponer límites, utilizar modelos menos capaces o cambiar sus condiciones sin aviso suficiente. Las barreras pueden ser permanentes, temporales o situacionales, y con frecuencia se acumulan durante una misma trayectoria académica. Si el rendimiento académico depende de funciones pagadas, la evaluación termina midiendo capacidad económica además de conocimiento. Las consecuencias deben analizarse durante todo el ciclo de vida, porque una actualización puede modificar costos, requisitos o accesibilidad. La selección tecnológica debe responder a finalidades pedagógicas y criterios de equidad, no a la novedad del producto (OECD, 2023, 2026; UNESCO, 2023).</w:t>
      </w:r>
    </w:p>
    <w:p w14:paraId="0267E9E0" w14:textId="77777777" w:rsidR="005575F8" w:rsidRPr="005575F8" w:rsidRDefault="005575F8" w:rsidP="005575F8">
      <w:pPr>
        <w:rPr>
          <w:lang w:val="es-MX"/>
        </w:rPr>
      </w:pPr>
      <w:r w:rsidRPr="005575F8">
        <w:rPr>
          <w:lang w:val="es-MX"/>
        </w:rPr>
        <w:t>La respuesta institucional consiste en proveer licencias institucionales cuando sean necesarias, seleccionar alternativas abiertas y garantizar una opción académicamente equivalente La institución debe mantener canales alternativos y asegurar que elegirlos no implique menor validez, mayor costo ni demoras desproporcionadas. El avance puede examinarse mediante comparaciones de resultados según plan de acceso, frecuencia de bloqueos y gasto asumido por el estudiante Los comités curriculares y de contratación deben revisar conjuntamente cualquier herramienta exigida en una asignatura. La meta es ampliar capacidades y opciones reales, no alcanzar una cifra de adopción desvinculada del aprendizaje.</w:t>
      </w:r>
    </w:p>
    <w:p w14:paraId="6783D9AA" w14:textId="0CE974CA" w:rsidR="005575F8" w:rsidRPr="005575F8" w:rsidRDefault="005575F8" w:rsidP="005575F8">
      <w:pPr>
        <w:rPr>
          <w:lang w:val="es-MX"/>
        </w:rPr>
      </w:pPr>
      <w:r w:rsidRPr="005575F8">
        <w:rPr>
          <w:b/>
          <w:bCs/>
          <w:lang w:val="es-MX"/>
        </w:rPr>
        <w:t xml:space="preserve">Tabla </w:t>
      </w:r>
      <w:r w:rsidR="00FA6F60">
        <w:rPr>
          <w:b/>
          <w:bCs/>
          <w:lang w:val="es-MX"/>
        </w:rPr>
        <w:t>6</w:t>
      </w:r>
      <w:r w:rsidRPr="005575F8">
        <w:rPr>
          <w:b/>
          <w:bCs/>
          <w:lang w:val="es-MX"/>
        </w:rPr>
        <w:t>.1. Dimensiones del acceso tecnológico equitativo</w:t>
      </w:r>
    </w:p>
    <w:tbl>
      <w:tblPr>
        <w:tblStyle w:val="Tablanormal2"/>
        <w:tblW w:w="8392" w:type="dxa"/>
        <w:tblLook w:val="04A0" w:firstRow="1" w:lastRow="0" w:firstColumn="1" w:lastColumn="0" w:noHBand="0" w:noVBand="1"/>
      </w:tblPr>
      <w:tblGrid>
        <w:gridCol w:w="2098"/>
        <w:gridCol w:w="2098"/>
        <w:gridCol w:w="2098"/>
        <w:gridCol w:w="2098"/>
      </w:tblGrid>
      <w:tr w:rsidR="005575F8" w:rsidRPr="005575F8" w14:paraId="3C9F4649" w14:textId="77777777" w:rsidTr="001B5A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8423DCE" w14:textId="77777777" w:rsidR="005575F8" w:rsidRPr="001B5ACE" w:rsidRDefault="005575F8" w:rsidP="001B5ACE">
            <w:pPr>
              <w:spacing w:before="0" w:after="0" w:line="240" w:lineRule="auto"/>
              <w:rPr>
                <w:sz w:val="20"/>
                <w:szCs w:val="20"/>
                <w:lang w:val="es-MX"/>
              </w:rPr>
            </w:pPr>
            <w:r w:rsidRPr="001B5ACE">
              <w:rPr>
                <w:sz w:val="20"/>
                <w:szCs w:val="20"/>
                <w:lang w:val="es-MX"/>
              </w:rPr>
              <w:t>Dimensión</w:t>
            </w:r>
          </w:p>
        </w:tc>
        <w:tc>
          <w:tcPr>
            <w:tcW w:w="2098" w:type="dxa"/>
            <w:vAlign w:val="center"/>
            <w:hideMark/>
          </w:tcPr>
          <w:p w14:paraId="3049D9A9" w14:textId="77777777" w:rsidR="005575F8" w:rsidRPr="001B5ACE" w:rsidRDefault="005575F8" w:rsidP="001B5ACE">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Condición necesaria</w:t>
            </w:r>
          </w:p>
        </w:tc>
        <w:tc>
          <w:tcPr>
            <w:tcW w:w="2098" w:type="dxa"/>
            <w:vAlign w:val="center"/>
            <w:hideMark/>
          </w:tcPr>
          <w:p w14:paraId="1C2FE95C" w14:textId="77777777" w:rsidR="005575F8" w:rsidRPr="001B5ACE" w:rsidRDefault="005575F8" w:rsidP="001B5ACE">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Riesgo de exclusión</w:t>
            </w:r>
          </w:p>
        </w:tc>
        <w:tc>
          <w:tcPr>
            <w:tcW w:w="2098" w:type="dxa"/>
            <w:vAlign w:val="center"/>
            <w:hideMark/>
          </w:tcPr>
          <w:p w14:paraId="75183467" w14:textId="77777777" w:rsidR="005575F8" w:rsidRPr="001B5ACE" w:rsidRDefault="005575F8" w:rsidP="001B5ACE">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Respuesta institucional</w:t>
            </w:r>
          </w:p>
        </w:tc>
      </w:tr>
      <w:tr w:rsidR="005575F8" w:rsidRPr="005575F8" w14:paraId="62DD753A" w14:textId="77777777" w:rsidTr="001B5A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5582387" w14:textId="77777777" w:rsidR="005575F8" w:rsidRPr="001B5ACE" w:rsidRDefault="005575F8" w:rsidP="001B5ACE">
            <w:pPr>
              <w:spacing w:before="0" w:after="0" w:line="240" w:lineRule="auto"/>
              <w:rPr>
                <w:sz w:val="20"/>
                <w:szCs w:val="20"/>
                <w:lang w:val="es-MX"/>
              </w:rPr>
            </w:pPr>
            <w:r w:rsidRPr="001B5ACE">
              <w:rPr>
                <w:sz w:val="20"/>
                <w:szCs w:val="20"/>
                <w:lang w:val="es-MX"/>
              </w:rPr>
              <w:t>Conectividad</w:t>
            </w:r>
          </w:p>
        </w:tc>
        <w:tc>
          <w:tcPr>
            <w:tcW w:w="2098" w:type="dxa"/>
            <w:vAlign w:val="center"/>
            <w:hideMark/>
          </w:tcPr>
          <w:p w14:paraId="6157D70B"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Servicio estable y asequible</w:t>
            </w:r>
          </w:p>
        </w:tc>
        <w:tc>
          <w:tcPr>
            <w:tcW w:w="2098" w:type="dxa"/>
            <w:vAlign w:val="center"/>
            <w:hideMark/>
          </w:tcPr>
          <w:p w14:paraId="01E1BB82"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Interrupciones, baja velocidad o costo excesivo</w:t>
            </w:r>
          </w:p>
        </w:tc>
        <w:tc>
          <w:tcPr>
            <w:tcW w:w="2098" w:type="dxa"/>
            <w:vAlign w:val="center"/>
            <w:hideMark/>
          </w:tcPr>
          <w:p w14:paraId="4BE31D07"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Redes, subsidios y alternativas asincrónicas</w:t>
            </w:r>
          </w:p>
        </w:tc>
      </w:tr>
      <w:tr w:rsidR="005575F8" w:rsidRPr="005575F8" w14:paraId="1ACEB3B8" w14:textId="77777777" w:rsidTr="001B5AC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4E72130" w14:textId="77777777" w:rsidR="005575F8" w:rsidRPr="001B5ACE" w:rsidRDefault="005575F8" w:rsidP="001B5ACE">
            <w:pPr>
              <w:spacing w:before="0" w:after="0" w:line="240" w:lineRule="auto"/>
              <w:rPr>
                <w:sz w:val="20"/>
                <w:szCs w:val="20"/>
                <w:lang w:val="es-MX"/>
              </w:rPr>
            </w:pPr>
            <w:r w:rsidRPr="001B5ACE">
              <w:rPr>
                <w:sz w:val="20"/>
                <w:szCs w:val="20"/>
                <w:lang w:val="es-MX"/>
              </w:rPr>
              <w:t>Dispositivo</w:t>
            </w:r>
          </w:p>
        </w:tc>
        <w:tc>
          <w:tcPr>
            <w:tcW w:w="2098" w:type="dxa"/>
            <w:vAlign w:val="center"/>
            <w:hideMark/>
          </w:tcPr>
          <w:p w14:paraId="11F11697"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Equipo adecuado para producir y participar</w:t>
            </w:r>
          </w:p>
        </w:tc>
        <w:tc>
          <w:tcPr>
            <w:tcW w:w="2098" w:type="dxa"/>
            <w:vAlign w:val="center"/>
            <w:hideMark/>
          </w:tcPr>
          <w:p w14:paraId="68FC64C3"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Dependencia exclusiva del teléfono</w:t>
            </w:r>
          </w:p>
        </w:tc>
        <w:tc>
          <w:tcPr>
            <w:tcW w:w="2098" w:type="dxa"/>
            <w:vAlign w:val="center"/>
            <w:hideMark/>
          </w:tcPr>
          <w:p w14:paraId="35B278BD"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Préstamo, reparación y laboratorios</w:t>
            </w:r>
          </w:p>
        </w:tc>
      </w:tr>
      <w:tr w:rsidR="005575F8" w:rsidRPr="005575F8" w14:paraId="3C9B548A" w14:textId="77777777" w:rsidTr="001B5A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6D15125" w14:textId="77777777" w:rsidR="005575F8" w:rsidRPr="001B5ACE" w:rsidRDefault="005575F8" w:rsidP="001B5ACE">
            <w:pPr>
              <w:spacing w:before="0" w:after="0" w:line="240" w:lineRule="auto"/>
              <w:rPr>
                <w:sz w:val="20"/>
                <w:szCs w:val="20"/>
                <w:lang w:val="es-MX"/>
              </w:rPr>
            </w:pPr>
            <w:r w:rsidRPr="001B5ACE">
              <w:rPr>
                <w:sz w:val="20"/>
                <w:szCs w:val="20"/>
                <w:lang w:val="es-MX"/>
              </w:rPr>
              <w:t>Plataforma</w:t>
            </w:r>
          </w:p>
        </w:tc>
        <w:tc>
          <w:tcPr>
            <w:tcW w:w="2098" w:type="dxa"/>
            <w:vAlign w:val="center"/>
            <w:hideMark/>
          </w:tcPr>
          <w:p w14:paraId="2722ADDE"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Función disponible sin pago individual</w:t>
            </w:r>
          </w:p>
        </w:tc>
        <w:tc>
          <w:tcPr>
            <w:tcW w:w="2098" w:type="dxa"/>
            <w:vAlign w:val="center"/>
            <w:hideMark/>
          </w:tcPr>
          <w:p w14:paraId="7874E4AD"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Ventajas reservadas a versiones premium</w:t>
            </w:r>
          </w:p>
        </w:tc>
        <w:tc>
          <w:tcPr>
            <w:tcW w:w="2098" w:type="dxa"/>
            <w:vAlign w:val="center"/>
            <w:hideMark/>
          </w:tcPr>
          <w:p w14:paraId="3775C88B" w14:textId="77777777" w:rsidR="005575F8" w:rsidRPr="001B5ACE" w:rsidRDefault="005575F8" w:rsidP="001B5ACE">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B5ACE">
              <w:rPr>
                <w:sz w:val="20"/>
                <w:szCs w:val="20"/>
                <w:lang w:val="es-MX"/>
              </w:rPr>
              <w:t>Licencias institucionales y opción equivalente</w:t>
            </w:r>
          </w:p>
        </w:tc>
      </w:tr>
      <w:tr w:rsidR="005575F8" w:rsidRPr="005575F8" w14:paraId="476FC4DE" w14:textId="77777777" w:rsidTr="001B5ACE">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E06F605" w14:textId="77777777" w:rsidR="005575F8" w:rsidRPr="001B5ACE" w:rsidRDefault="005575F8" w:rsidP="001B5ACE">
            <w:pPr>
              <w:spacing w:before="0" w:after="0" w:line="240" w:lineRule="auto"/>
              <w:rPr>
                <w:sz w:val="20"/>
                <w:szCs w:val="20"/>
                <w:lang w:val="es-MX"/>
              </w:rPr>
            </w:pPr>
            <w:r w:rsidRPr="001B5ACE">
              <w:rPr>
                <w:sz w:val="20"/>
                <w:szCs w:val="20"/>
                <w:lang w:val="es-MX"/>
              </w:rPr>
              <w:t>Competencias</w:t>
            </w:r>
          </w:p>
        </w:tc>
        <w:tc>
          <w:tcPr>
            <w:tcW w:w="2098" w:type="dxa"/>
            <w:vAlign w:val="center"/>
            <w:hideMark/>
          </w:tcPr>
          <w:p w14:paraId="5C18E705"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Capacidad para usar y evaluar herramientas</w:t>
            </w:r>
          </w:p>
        </w:tc>
        <w:tc>
          <w:tcPr>
            <w:tcW w:w="2098" w:type="dxa"/>
            <w:vAlign w:val="center"/>
            <w:hideMark/>
          </w:tcPr>
          <w:p w14:paraId="4263966A"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Uso inseguro o dependencia</w:t>
            </w:r>
          </w:p>
        </w:tc>
        <w:tc>
          <w:tcPr>
            <w:tcW w:w="2098" w:type="dxa"/>
            <w:vAlign w:val="center"/>
            <w:hideMark/>
          </w:tcPr>
          <w:p w14:paraId="018E340F" w14:textId="77777777" w:rsidR="005575F8" w:rsidRPr="001B5ACE" w:rsidRDefault="005575F8" w:rsidP="001B5ACE">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B5ACE">
              <w:rPr>
                <w:sz w:val="20"/>
                <w:szCs w:val="20"/>
                <w:lang w:val="es-MX"/>
              </w:rPr>
              <w:t>Formación, tutoría y soporte multicanal</w:t>
            </w:r>
          </w:p>
        </w:tc>
      </w:tr>
    </w:tbl>
    <w:p w14:paraId="25E052F1" w14:textId="77777777" w:rsidR="005575F8" w:rsidRPr="005575F8" w:rsidRDefault="005575F8" w:rsidP="005575F8">
      <w:pPr>
        <w:rPr>
          <w:lang w:val="es-MX"/>
        </w:rPr>
      </w:pPr>
      <w:r w:rsidRPr="005575F8">
        <w:rPr>
          <w:i/>
          <w:iCs/>
          <w:lang w:val="es-MX"/>
        </w:rPr>
        <w:t>Fuente: elaboración propia a partir de las referencias citadas en el apartado.</w:t>
      </w:r>
    </w:p>
    <w:p w14:paraId="29DAA1C6" w14:textId="77777777" w:rsidR="005575F8" w:rsidRPr="005575F8" w:rsidRDefault="005575F8" w:rsidP="005575F8">
      <w:pPr>
        <w:rPr>
          <w:lang w:val="es-MX"/>
        </w:rPr>
      </w:pPr>
      <w:r w:rsidRPr="005575F8">
        <w:rPr>
          <w:lang w:val="es-MX"/>
        </w:rPr>
        <w:t xml:space="preserve">Diseño para conectividad limitada. En educación superior, la eficiencia técnica es una dimensión de la accesibilidad los archivos pesados, las interfaces recargadas y la reproducción automática consumen datos, memoria y batería sin aportar necesariamente valor didáctico. El análisis debe </w:t>
      </w:r>
      <w:r w:rsidRPr="005575F8">
        <w:rPr>
          <w:lang w:val="es-MX"/>
        </w:rPr>
        <w:lastRenderedPageBreak/>
        <w:t>considerar quién accede, desde qué entorno, con cuánto tiempo, a qué costo y con qué posibilidades de solicitar ayuda. Las decisiones de diseño pueden hacer inutilizable un curso para estudiantes con equipos antiguos o conexión inestable. Si esta desigualdad se atribuye al esfuerzo individual, la organización evita examinar las decisiones que producen o agravan la desventaja. El diseño inclusivo reconoce que las limitaciones pueden ser permanentes, temporales o situacionales y busca reducirlas desde el origen (CAST, 2024).</w:t>
      </w:r>
    </w:p>
    <w:p w14:paraId="437CE193" w14:textId="77777777" w:rsidR="005575F8" w:rsidRDefault="005575F8" w:rsidP="005575F8">
      <w:pPr>
        <w:rPr>
          <w:lang w:val="es-MX"/>
        </w:rPr>
      </w:pPr>
      <w:r w:rsidRPr="005575F8">
        <w:rPr>
          <w:lang w:val="es-MX"/>
        </w:rPr>
        <w:t>La respuesta institucional requiere adoptar formatos comprimidos, versiones en texto, descarga por unidades y sincronización diferida de actividades El apoyo debe llegar en el momento en que la barrera aparece, puesto que una corrección posterior no siempre repara la pérdida de aprendizaje. El avance puede examinarse mediante peso medio de recursos, tiempos de carga, consumo de datos y éxito de acceso en equipos de gama diversa Las unidades de educación virtual deben incluir pruebas de bajo ancho de banda en sus criterios de publicación. La comparación entre grupos debe proteger la privacidad y evitar categorías que reproduzcan estigmas.</w:t>
      </w:r>
    </w:p>
    <w:p w14:paraId="42E9EEA2" w14:textId="2BCEF39F" w:rsidR="00ED3DA6" w:rsidRPr="005575F8" w:rsidRDefault="006D5978" w:rsidP="005575F8">
      <w:pPr>
        <w:rPr>
          <w:lang w:val="es-MX"/>
        </w:rPr>
      </w:pPr>
      <w:r>
        <w:rPr>
          <w:noProof/>
          <w:lang w:val="es-MX"/>
        </w:rPr>
        <w:drawing>
          <wp:inline distT="0" distB="0" distL="0" distR="0" wp14:anchorId="4F35C586" wp14:editId="3D64EDB5">
            <wp:extent cx="5400675" cy="3600450"/>
            <wp:effectExtent l="0" t="0" r="9525" b="0"/>
            <wp:docPr id="113575492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28E6AA88" w14:textId="0693B3C9" w:rsidR="005575F8" w:rsidRPr="005575F8" w:rsidRDefault="005575F8" w:rsidP="001B5ACE">
      <w:pPr>
        <w:pStyle w:val="Ttulo3"/>
        <w:rPr>
          <w:lang w:val="es-MX"/>
        </w:rPr>
      </w:pPr>
      <w:bookmarkStart w:id="126" w:name="_Toc239440983"/>
      <w:r w:rsidRPr="005575F8">
        <w:rPr>
          <w:lang w:val="es-MX"/>
        </w:rPr>
        <w:t>Competencias, apoyo oportuno y decisiones situadas</w:t>
      </w:r>
      <w:bookmarkEnd w:id="126"/>
    </w:p>
    <w:p w14:paraId="3428ECFD" w14:textId="77777777" w:rsidR="005575F8" w:rsidRPr="005575F8" w:rsidRDefault="005575F8" w:rsidP="005575F8">
      <w:pPr>
        <w:rPr>
          <w:lang w:val="es-MX"/>
        </w:rPr>
      </w:pPr>
      <w:r w:rsidRPr="005575F8">
        <w:rPr>
          <w:lang w:val="es-MX"/>
        </w:rPr>
        <w:t xml:space="preserve">Competencias y apoyo oportuno. El acceso también depende de saber configurar, evaluar y utilizar críticamente las herramientas las diferencias de experiencia previa afectan la capacidad para proteger una cuenta, redactar instrucciones, contrastar una respuesta o resolver un error técnico. En este ámbito, las condiciones materiales y las decisiones pedagógicas se refuerzan mutuamente y determinan la participación posible. La exigencia implícita de aprender en soledad beneficia a quienes llegan con mayor capital digital y desalienta las solicitudes de ayuda. La </w:t>
      </w:r>
      <w:r w:rsidRPr="005575F8">
        <w:rPr>
          <w:lang w:val="es-MX"/>
        </w:rPr>
        <w:lastRenderedPageBreak/>
        <w:t>responsabilidad corresponde a la institución que selecciona y organiza el recurso, no solo a la persona que intenta adaptarse a él. Las competencias de IA comprenden conocimientos, juicio ético y capacidad de acción, por lo que no pueden reducirse al manejo instrumental (Miao et al., 2024).</w:t>
      </w:r>
    </w:p>
    <w:p w14:paraId="211867A0" w14:textId="77777777" w:rsidR="005575F8" w:rsidRPr="005575F8" w:rsidRDefault="005575F8" w:rsidP="005575F8">
      <w:pPr>
        <w:rPr>
          <w:lang w:val="es-MX"/>
        </w:rPr>
      </w:pPr>
      <w:r w:rsidRPr="005575F8">
        <w:rPr>
          <w:lang w:val="es-MX"/>
        </w:rPr>
        <w:t>La respuesta institucional debe comenzar por integrar formación inicial, tutorías entre pares, asistencia multicanal y recursos breves vinculados con tareas auténticas La comunidad afectada debe intervenir antes de cerrar requisitos y disponer de capacidad efectiva para proponer cambios. El avance puede examinarse mediante tiempos de resolución, recurrencia de problemas, participación en apoyos y autoeficacia antes y después de la intervención Docentes, bibliotecarios y personal técnico deben compartir una ruta clara de derivación y acompañamiento. Los resultados adquieren sentido cuando se interpretan junto con las personas que viven las barreras.</w:t>
      </w:r>
    </w:p>
    <w:p w14:paraId="404C2411" w14:textId="77777777" w:rsidR="005575F8" w:rsidRPr="005575F8" w:rsidRDefault="005575F8" w:rsidP="005575F8">
      <w:pPr>
        <w:rPr>
          <w:lang w:val="es-MX"/>
        </w:rPr>
      </w:pPr>
      <w:r w:rsidRPr="005575F8">
        <w:rPr>
          <w:lang w:val="es-MX"/>
        </w:rPr>
        <w:t>Datos nacionales y decisiones locales. La política universitaria necesita información situada sobre hogares, territorios y formas de uso las estadísticas nacionales permiten reconocer tendencias, mientras los diagnósticos institucionales revelan barreras específicas de carreras, sedes y modalidades. El contexto convierte una misma función en apoyo para unas personas y en obstáculo para otras, por lo que las conclusiones generales necesitan contraste local. Aplicar promedios nacionales a toda la comunidad puede invisibilizar zonas rurales, pueblos históricamente marginados o programas con mayores exigencias tecnológicas. Una intervención apresurada corre el riesgo de digitalizar una exclusión previa y otorgarle una apariencia de eficiencia. El Instituto Nacional de Estadística y Censos produce información sobre equipamiento, internet y uso de tecnologías en los hogares ecuatorianos (Instituto Nacional de Estadística y Censos, 2025).</w:t>
      </w:r>
    </w:p>
    <w:p w14:paraId="441069D5" w14:textId="77777777" w:rsidR="005575F8" w:rsidRPr="005575F8" w:rsidRDefault="005575F8" w:rsidP="005575F8">
      <w:pPr>
        <w:rPr>
          <w:lang w:val="es-MX"/>
        </w:rPr>
      </w:pPr>
      <w:r w:rsidRPr="005575F8">
        <w:rPr>
          <w:lang w:val="es-MX"/>
        </w:rPr>
        <w:t xml:space="preserve">La respuesta institucional se concreta al combinar información pública con encuestas accesibles, grupos focales y datos administrativos minimizados La información sobre el servicio debe presentarse en lenguaje claro y explicar tanto sus posibilidades como las condiciones en las que puede fallar. El avance puede examinarse mediante indicadores desagregados por variables pertinentes, con reglas contra la </w:t>
      </w:r>
      <w:proofErr w:type="spellStart"/>
      <w:r w:rsidRPr="005575F8">
        <w:rPr>
          <w:lang w:val="es-MX"/>
        </w:rPr>
        <w:t>reidentificación</w:t>
      </w:r>
      <w:proofErr w:type="spellEnd"/>
      <w:r w:rsidRPr="005575F8">
        <w:rPr>
          <w:lang w:val="es-MX"/>
        </w:rPr>
        <w:t xml:space="preserve"> y revisión de posibles sesgos En Ecuador, las universidades pueden dialogar con las mediciones de tecnologías de información y comunicación del INEC sin sustituir la escucha directa. La mejora continua requiere conservar memoria de los problemas y verificar que no reaparezcan en versiones posteriores.</w:t>
      </w:r>
    </w:p>
    <w:p w14:paraId="44B8D90F" w14:textId="58AEE1C7" w:rsidR="005575F8" w:rsidRPr="005575F8" w:rsidRDefault="005575F8" w:rsidP="001B5ACE">
      <w:pPr>
        <w:pStyle w:val="Ttulo3"/>
        <w:rPr>
          <w:lang w:val="es-MX"/>
        </w:rPr>
      </w:pPr>
      <w:bookmarkStart w:id="127" w:name="_Toc239440984"/>
      <w:r w:rsidRPr="005575F8">
        <w:rPr>
          <w:lang w:val="es-MX"/>
        </w:rPr>
        <w:t>Continuidad, resiliencia, contratación y sostenibilidad</w:t>
      </w:r>
      <w:bookmarkEnd w:id="127"/>
    </w:p>
    <w:p w14:paraId="026BF5A3" w14:textId="77777777" w:rsidR="005575F8" w:rsidRPr="005575F8" w:rsidRDefault="005575F8" w:rsidP="005575F8">
      <w:pPr>
        <w:rPr>
          <w:lang w:val="es-MX"/>
        </w:rPr>
      </w:pPr>
      <w:r w:rsidRPr="005575F8">
        <w:rPr>
          <w:lang w:val="es-MX"/>
        </w:rPr>
        <w:t xml:space="preserve">Continuidad y resiliencia educativa. El acceso equitativo exige planes para fallos de energía, desastres, crisis económicas y cambios de proveedor quienes cuentan con menos alternativas son los primeros afectados cuando una plataforma deja de funcionar o una licencia se suspende. Una solución técnicamente disponible puede seguir siendo educativa y socialmente inaccesible si </w:t>
      </w:r>
      <w:r w:rsidRPr="005575F8">
        <w:rPr>
          <w:lang w:val="es-MX"/>
        </w:rPr>
        <w:lastRenderedPageBreak/>
        <w:t>presupone recursos que no toda la comunidad posee. La dependencia de un único servicio puede interrumpir cursos, perder evidencias de aprendizaje y debilitar la confianza. La heterogeneidad de la comunidad universitaria requiere respuestas flexibles y evita considerar una única experiencia como norma. Los ecosistemas digitales eficaces requieren infraestructura, gobernanza y capacidad humana articuladas (OECD, 2023).</w:t>
      </w:r>
    </w:p>
    <w:p w14:paraId="02BB11E3" w14:textId="77777777" w:rsidR="005575F8" w:rsidRPr="005575F8" w:rsidRDefault="005575F8" w:rsidP="005575F8">
      <w:pPr>
        <w:rPr>
          <w:lang w:val="es-MX"/>
        </w:rPr>
      </w:pPr>
      <w:r w:rsidRPr="005575F8">
        <w:rPr>
          <w:lang w:val="es-MX"/>
        </w:rPr>
        <w:t>La respuesta institucional consiste en establecer copias portables, canales alternativos, protocolos de contingencia y márgenes razonables de recuperación La decisión necesita reflejarse en contratación, currículo, soporte y formación del personal para no depender de iniciativas aisladas. El avance puede examinarse mediante tiempo de restablecimiento, disponibilidad de copias, continuidad de actividades y distribución de impactos La planificación debe involucrar gestión de riesgos, docencia, bibliotecas y representantes estudiantiles. La evidencia resultante debe orientar ajustes y comunicarse de forma comprensible a la comunidad.</w:t>
      </w:r>
    </w:p>
    <w:p w14:paraId="5DA9D043" w14:textId="77777777" w:rsidR="005575F8" w:rsidRPr="005575F8" w:rsidRDefault="005575F8" w:rsidP="005575F8">
      <w:pPr>
        <w:rPr>
          <w:lang w:val="es-MX"/>
        </w:rPr>
      </w:pPr>
      <w:r w:rsidRPr="005575F8">
        <w:rPr>
          <w:lang w:val="es-MX"/>
        </w:rPr>
        <w:t>Contratación y sostenibilidad. En educación superior, la equidad se decide también en los contratos tecnológicos las cláusulas de interoperabilidad, accesibilidad, soporte, exportación de datos y estabilidad de precios determinan quién puede usar una solución y durante cuánto tiempo. El beneficio educativo depende tanto de la tecnología como de las normas, apoyos y relaciones humanas que organizan su utilización. Una compra centrada en el costo inicial puede generar dependencia, gastos ocultos y barreras difíciles de corregir. La innovación merece legitimidad cuando distribuye beneficios y riesgos de una manera que la comunidad puede conocer y discutir. La sostenibilidad educativa requiere valorar consecuencias sociales, ambientales y organizacionales durante todo el ciclo de vida (UNESCO, 2021).</w:t>
      </w:r>
    </w:p>
    <w:p w14:paraId="56A77DEA" w14:textId="77777777" w:rsidR="005575F8" w:rsidRPr="005575F8" w:rsidRDefault="005575F8" w:rsidP="005575F8">
      <w:pPr>
        <w:rPr>
          <w:lang w:val="es-MX"/>
        </w:rPr>
      </w:pPr>
      <w:r w:rsidRPr="005575F8">
        <w:rPr>
          <w:lang w:val="es-MX"/>
        </w:rPr>
        <w:t>La respuesta institucional requiere aplicar evaluaciones de impacto, pruebas con usuarios y requisitos de salida antes de adquirir o renovar servicios Conviene probar la solución en contextos diversos, documentar sus límites y conservar una alternativa equivalente mientras se corrigen problemas. El avance puede examinarse mediante cumplimiento verificable de criterios de acceso, costos totales, incidencias y facilidad de migración Compras públicas, asesoría jurídica, tecnologías y unidades académicas deben compartir la responsabilidad de la decisión. El seguimiento permite saber si el apoyo reduce la barrera o si simplemente desplaza el problema hacia otra etapa.</w:t>
      </w:r>
    </w:p>
    <w:p w14:paraId="20308B99" w14:textId="727DBCE7" w:rsidR="005575F8" w:rsidRPr="005575F8" w:rsidRDefault="005575F8" w:rsidP="001B5ACE">
      <w:pPr>
        <w:pStyle w:val="Ttulo2"/>
        <w:rPr>
          <w:lang w:val="es-MX"/>
        </w:rPr>
      </w:pPr>
      <w:bookmarkStart w:id="128" w:name="_Toc239440985"/>
      <w:r w:rsidRPr="005575F8">
        <w:rPr>
          <w:lang w:val="es-MX"/>
        </w:rPr>
        <w:t>Inteligencia artificial y estudiantes con necesidades diversas</w:t>
      </w:r>
      <w:bookmarkEnd w:id="128"/>
    </w:p>
    <w:p w14:paraId="016822C2" w14:textId="3C48DBA1" w:rsidR="005575F8" w:rsidRPr="005575F8" w:rsidRDefault="005575F8" w:rsidP="001B5ACE">
      <w:pPr>
        <w:pStyle w:val="Ttulo3"/>
        <w:rPr>
          <w:lang w:val="es-MX"/>
        </w:rPr>
      </w:pPr>
      <w:bookmarkStart w:id="129" w:name="_Toc239440986"/>
      <w:r w:rsidRPr="005575F8">
        <w:rPr>
          <w:lang w:val="es-MX"/>
        </w:rPr>
        <w:t>Diversidad, modelo social y enfoque de derechos</w:t>
      </w:r>
      <w:bookmarkEnd w:id="129"/>
    </w:p>
    <w:p w14:paraId="130A2C78" w14:textId="77777777" w:rsidR="005575F8" w:rsidRPr="005575F8" w:rsidRDefault="005575F8" w:rsidP="005575F8">
      <w:pPr>
        <w:rPr>
          <w:lang w:val="es-MX"/>
        </w:rPr>
      </w:pPr>
      <w:r w:rsidRPr="005575F8">
        <w:rPr>
          <w:lang w:val="es-MX"/>
        </w:rPr>
        <w:t xml:space="preserve">Diversidad y modelo social. En educación superior, las necesidades educativas surgen de la interacción entre características personales y entornos que facilitan o restringen la participación la discapacidad no debe tratarse como un defecto que una herramienta tecnológica corrige, sino como una relación que puede modificarse mediante accesibilidad y apoyos. La experiencia </w:t>
      </w:r>
      <w:r w:rsidRPr="005575F8">
        <w:rPr>
          <w:lang w:val="es-MX"/>
        </w:rPr>
        <w:lastRenderedPageBreak/>
        <w:t>concreta revela diferencias que suelen desaparecer cuando la institución observa únicamente cifras agregadas. Presentar la IA como una cura tecnológica borra la agencia de las personas y desplaza obligaciones institucionales. La ausencia de una queja no prueba que la experiencia sea inclusiva, pues solicitar ayuda también puede resultar difícil o estigmatizante. La Convención sobre los Derechos de las Personas con Discapacidad reconoce la educación inclusiva y el acceso a tecnologías de información como componentes de igualdad (Goggin &amp; Newell, 2003; Naciones Unidas, 2006).</w:t>
      </w:r>
    </w:p>
    <w:p w14:paraId="0858AFB8" w14:textId="77777777" w:rsidR="005575F8" w:rsidRPr="005575F8" w:rsidRDefault="005575F8" w:rsidP="005575F8">
      <w:pPr>
        <w:rPr>
          <w:lang w:val="es-MX"/>
        </w:rPr>
      </w:pPr>
      <w:r w:rsidRPr="005575F8">
        <w:rPr>
          <w:lang w:val="es-MX"/>
        </w:rPr>
        <w:t>La respuesta institucional requiere adoptar un enfoque de derechos, consultar a las personas afectadas y eliminar barreras antes de exigir adaptaciones individuales El apoyo debe llegar en el momento en que la barrera aparece, puesto que una corrección posterior no siempre repara la pérdida de aprendizaje. El avance puede examinarse mediante participación efectiva, autonomía reportada, barreras resueltas y tiempos de respuesta a solicitudes Las unidades de inclusión deben actuar con las facultades y no como servicios periféricos. Una mejora demostrable combina desempeño técnico, experiencia de usuario y efectos educativos.</w:t>
      </w:r>
    </w:p>
    <w:p w14:paraId="4D59E6B2" w14:textId="77777777" w:rsidR="005575F8" w:rsidRPr="005575F8" w:rsidRDefault="005575F8" w:rsidP="005575F8">
      <w:pPr>
        <w:rPr>
          <w:lang w:val="es-MX"/>
        </w:rPr>
      </w:pPr>
      <w:r w:rsidRPr="005575F8">
        <w:rPr>
          <w:lang w:val="es-MX"/>
        </w:rPr>
        <w:t>Diseño Universal para el Aprendizaje. El Diseño Universal para el Aprendizaje propone múltiples medios de implicación, representación, acción y expresión esta flexibilidad beneficia a estudiantes con discapacidad y también a quienes enfrentan barreras lingüísticas, culturales, temporales o tecnológicas. Las barreras pueden ser permanentes, temporales o situacionales, y con frecuencia se acumulan durante una misma trayectoria académica. Confundir flexibilidad con menor rigor puede conducir a opciones superficiales que no evalúan los mismos resultados. Los promedios institucionales pueden ocultar diferencias sistemáticas entre territorios, grupos y modalidades de estudio. Las pautas de este enfoque orientan el diseño hacia aprendices con mayor agencia, propósito y capacidad estratégica (Burgstahler, 2015; CAST, 2024; Rose &amp; Meyer, 2002).</w:t>
      </w:r>
    </w:p>
    <w:p w14:paraId="0CF40961" w14:textId="77777777" w:rsidR="005575F8" w:rsidRDefault="005575F8" w:rsidP="005575F8">
      <w:pPr>
        <w:rPr>
          <w:lang w:val="es-MX"/>
        </w:rPr>
      </w:pPr>
      <w:r w:rsidRPr="005575F8">
        <w:rPr>
          <w:lang w:val="es-MX"/>
        </w:rPr>
        <w:t>La respuesta institucional debe comenzar por definir objetivos comunes y ofrecer caminos equivalentes para acceder a la información, practicar y demostrar aprendizaje La comunidad afectada debe intervenir antes de cerrar requisitos y disponer de capacidad efectiva para proponer cambios. El avance puede examinarse mediante calidad de las alternativas, logro de resultados y distribución de elecciones entre grupos diversos Cada equipo docente debe anticipar variabilidad y revisar sus decisiones con apoyo de especialistas. Este procedimiento permite abandonar soluciones ineficaces antes de que su uso se vuelva una obligación informal.</w:t>
      </w:r>
    </w:p>
    <w:p w14:paraId="5485E634" w14:textId="7FD42F14" w:rsidR="00631AB4" w:rsidRPr="005575F8" w:rsidRDefault="005C6224" w:rsidP="005575F8">
      <w:pPr>
        <w:rPr>
          <w:lang w:val="es-MX"/>
        </w:rPr>
      </w:pPr>
      <w:r>
        <w:rPr>
          <w:noProof/>
          <w:lang w:val="es-MX"/>
        </w:rPr>
        <w:lastRenderedPageBreak/>
        <w:drawing>
          <wp:inline distT="0" distB="0" distL="0" distR="0" wp14:anchorId="3D6F3205" wp14:editId="0A1F0E80">
            <wp:extent cx="5400675" cy="3600450"/>
            <wp:effectExtent l="0" t="0" r="9525" b="0"/>
            <wp:docPr id="203130222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09188DC8" w14:textId="02EDD8C2" w:rsidR="005575F8" w:rsidRPr="005575F8" w:rsidRDefault="005575F8" w:rsidP="00AF1FC2">
      <w:pPr>
        <w:pStyle w:val="Ttulo3"/>
        <w:rPr>
          <w:lang w:val="es-MX"/>
        </w:rPr>
      </w:pPr>
      <w:bookmarkStart w:id="130" w:name="_Toc239440987"/>
      <w:r w:rsidRPr="005575F8">
        <w:rPr>
          <w:lang w:val="es-MX"/>
        </w:rPr>
        <w:t>Discapacidad visual, auditiva y apoyos multimodales</w:t>
      </w:r>
      <w:bookmarkEnd w:id="130"/>
    </w:p>
    <w:p w14:paraId="0E03E656" w14:textId="77777777" w:rsidR="005575F8" w:rsidRPr="005575F8" w:rsidRDefault="005575F8" w:rsidP="005575F8">
      <w:pPr>
        <w:rPr>
          <w:lang w:val="es-MX"/>
        </w:rPr>
      </w:pPr>
      <w:r w:rsidRPr="005575F8">
        <w:rPr>
          <w:lang w:val="es-MX"/>
        </w:rPr>
        <w:t>Apoyo a personas con discapacidad visual. La IA puede convertir texto en voz, reconocer caracteres, describir imágenes y facilitar la navegación por grandes volúmenes de información estas funciones amplían independencia cuando el contenido posee estructura semántica y la descripción comunica el propósito académico. El análisis debe considerar quién accede, desde qué entorno, con cuánto tiempo, a qué costo y con qué posibilidades de solicitar ayuda. Una descripción automática puede omitir relaciones, inventar detalles o interpretar de forma incorrecta una gráfica científica. El objetivo educativo debe mantenerse visible para impedir que las exigencias de la herramienta sustituyan los resultados de aprendizaje. La accesibilidad digital requiere procesos y políticas continuos, además de herramientas de asistencia aisladas (Lazar et al., 2015).</w:t>
      </w:r>
    </w:p>
    <w:p w14:paraId="46A818F4" w14:textId="77777777" w:rsidR="005575F8" w:rsidRPr="005575F8" w:rsidRDefault="005575F8" w:rsidP="005575F8">
      <w:pPr>
        <w:rPr>
          <w:lang w:val="es-MX"/>
        </w:rPr>
      </w:pPr>
      <w:r w:rsidRPr="005575F8">
        <w:rPr>
          <w:lang w:val="es-MX"/>
        </w:rPr>
        <w:t>La respuesta institucional se concreta al combinar automatización con texto alternativo elaborado o validado por personas competentes y mantener acceso al material original La información sobre el servicio debe presentarse en lenguaje claro y explicar tanto sus posibilidades como las condiciones en las que puede fallar. El avance puede examinarse mediante exactitud contextual, compatibilidad con lectores de pantalla y posibilidad de corregir descripciones Autores, docentes y proveedores comparten la obligación de asegurar que la mediación conserve el significado. La meta es ampliar capacidades y opciones reales, no alcanzar una cifra de adopción desvinculada del aprendizaje.</w:t>
      </w:r>
    </w:p>
    <w:p w14:paraId="39D22CD2" w14:textId="77777777" w:rsidR="005575F8" w:rsidRPr="005575F8" w:rsidRDefault="005575F8" w:rsidP="005575F8">
      <w:pPr>
        <w:rPr>
          <w:lang w:val="es-MX"/>
        </w:rPr>
      </w:pPr>
      <w:r w:rsidRPr="005575F8">
        <w:rPr>
          <w:lang w:val="es-MX"/>
        </w:rPr>
        <w:lastRenderedPageBreak/>
        <w:t xml:space="preserve">Apoyo a personas sordas o con hipoacusia. El reconocimiento automático del habla puede generar subtítulos y transcripciones en tiempo cercano al real su utilidad depende de la precisión, la identificación de hablantes, la puntuación y el tratamiento adecuado de vocabulario disciplinar. En este ámbito, las condiciones materiales y las decisiones pedagógicas se refuerzan mutuamente y determinan la participación posible. Los errores se concentran en nombres propios, acentos y términos técnicos, y pueden alterar argumentos o instrucciones de seguridad. El acceso significativo exige capacidad de elección y no solamente aceptación de las condiciones definidas por el proveedor. Las tecnologías de apoyo mejoran la participación cuando se integran con un entorno accesible y respetan la comunicación preferida de cada persona (World Health </w:t>
      </w:r>
      <w:proofErr w:type="spellStart"/>
      <w:r w:rsidRPr="005575F8">
        <w:rPr>
          <w:lang w:val="es-MX"/>
        </w:rPr>
        <w:t>Organization</w:t>
      </w:r>
      <w:proofErr w:type="spellEnd"/>
      <w:r w:rsidRPr="005575F8">
        <w:rPr>
          <w:lang w:val="es-MX"/>
        </w:rPr>
        <w:t>, 2022).</w:t>
      </w:r>
    </w:p>
    <w:p w14:paraId="4F0E4882" w14:textId="77777777" w:rsidR="005575F8" w:rsidRPr="005575F8" w:rsidRDefault="005575F8" w:rsidP="005575F8">
      <w:pPr>
        <w:rPr>
          <w:lang w:val="es-MX"/>
        </w:rPr>
      </w:pPr>
      <w:r w:rsidRPr="005575F8">
        <w:rPr>
          <w:lang w:val="es-MX"/>
        </w:rPr>
        <w:t>La respuesta institucional consiste en proporcionar revisión humana en materiales esenciales, transcripciones editables y canales visuales equivalentes para participar La decisión necesita reflejarse en contratación, currículo, soporte y formación del personal para no depender de iniciativas aisladas. El avance puede examinarse mediante tasa de errores significativos, demora de publicación y comprensión reportada por usuarios El personal audiovisual debe coordinar con docentes y estudiantes para priorizar contenidos de alto impacto. La comparación entre grupos debe proteger la privacidad y evitar categorías que reproduzcan estigmas.</w:t>
      </w:r>
    </w:p>
    <w:p w14:paraId="7200835B" w14:textId="5CE49EF9" w:rsidR="005575F8" w:rsidRPr="005575F8" w:rsidRDefault="005575F8" w:rsidP="005575F8">
      <w:pPr>
        <w:rPr>
          <w:lang w:val="es-MX"/>
        </w:rPr>
      </w:pPr>
      <w:r w:rsidRPr="005575F8">
        <w:rPr>
          <w:b/>
          <w:bCs/>
          <w:lang w:val="es-MX"/>
        </w:rPr>
        <w:t xml:space="preserve">Tabla </w:t>
      </w:r>
      <w:r w:rsidR="00FA6F60">
        <w:rPr>
          <w:b/>
          <w:bCs/>
          <w:lang w:val="es-MX"/>
        </w:rPr>
        <w:t>6</w:t>
      </w:r>
      <w:r w:rsidRPr="005575F8">
        <w:rPr>
          <w:b/>
          <w:bCs/>
          <w:lang w:val="es-MX"/>
        </w:rPr>
        <w:t>.2. Apoyos de IA y salvaguardias para necesidades diversas</w:t>
      </w:r>
    </w:p>
    <w:tbl>
      <w:tblPr>
        <w:tblStyle w:val="Tablanormal2"/>
        <w:tblW w:w="8392" w:type="dxa"/>
        <w:tblLook w:val="04A0" w:firstRow="1" w:lastRow="0" w:firstColumn="1" w:lastColumn="0" w:noHBand="0" w:noVBand="1"/>
      </w:tblPr>
      <w:tblGrid>
        <w:gridCol w:w="2098"/>
        <w:gridCol w:w="2098"/>
        <w:gridCol w:w="2098"/>
        <w:gridCol w:w="2098"/>
      </w:tblGrid>
      <w:tr w:rsidR="005575F8" w:rsidRPr="005575F8" w14:paraId="5E5CCE4A" w14:textId="77777777" w:rsidTr="00AF1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8BC3BFD" w14:textId="77777777" w:rsidR="005575F8" w:rsidRPr="00AF1FC2" w:rsidRDefault="005575F8" w:rsidP="00AE71C4">
            <w:pPr>
              <w:spacing w:before="0" w:after="0" w:line="240" w:lineRule="auto"/>
              <w:jc w:val="center"/>
              <w:rPr>
                <w:sz w:val="20"/>
                <w:szCs w:val="20"/>
                <w:lang w:val="es-MX"/>
              </w:rPr>
            </w:pPr>
            <w:r w:rsidRPr="00AF1FC2">
              <w:rPr>
                <w:sz w:val="20"/>
                <w:szCs w:val="20"/>
                <w:lang w:val="es-MX"/>
              </w:rPr>
              <w:t>Necesidad</w:t>
            </w:r>
          </w:p>
        </w:tc>
        <w:tc>
          <w:tcPr>
            <w:tcW w:w="2098" w:type="dxa"/>
            <w:vAlign w:val="center"/>
            <w:hideMark/>
          </w:tcPr>
          <w:p w14:paraId="08560B31" w14:textId="77777777" w:rsidR="005575F8" w:rsidRPr="00AF1FC2" w:rsidRDefault="005575F8" w:rsidP="00AE71C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Apoyo posible</w:t>
            </w:r>
          </w:p>
        </w:tc>
        <w:tc>
          <w:tcPr>
            <w:tcW w:w="2098" w:type="dxa"/>
            <w:vAlign w:val="center"/>
            <w:hideMark/>
          </w:tcPr>
          <w:p w14:paraId="67F805B4" w14:textId="77777777" w:rsidR="005575F8" w:rsidRPr="00AF1FC2" w:rsidRDefault="005575F8" w:rsidP="00AE71C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Salvaguardia</w:t>
            </w:r>
          </w:p>
        </w:tc>
        <w:tc>
          <w:tcPr>
            <w:tcW w:w="2098" w:type="dxa"/>
            <w:vAlign w:val="center"/>
            <w:hideMark/>
          </w:tcPr>
          <w:p w14:paraId="30FFBF5B" w14:textId="77777777" w:rsidR="005575F8" w:rsidRPr="00AF1FC2" w:rsidRDefault="005575F8" w:rsidP="00AE71C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Alternativa disponible</w:t>
            </w:r>
          </w:p>
        </w:tc>
      </w:tr>
      <w:tr w:rsidR="005575F8" w:rsidRPr="005575F8" w14:paraId="0C38B9ED" w14:textId="77777777" w:rsidTr="00AF1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962CA9F" w14:textId="77777777" w:rsidR="005575F8" w:rsidRPr="00AF1FC2" w:rsidRDefault="005575F8" w:rsidP="00AF1FC2">
            <w:pPr>
              <w:spacing w:before="0" w:after="0" w:line="240" w:lineRule="auto"/>
              <w:rPr>
                <w:sz w:val="20"/>
                <w:szCs w:val="20"/>
                <w:lang w:val="es-MX"/>
              </w:rPr>
            </w:pPr>
            <w:r w:rsidRPr="00AF1FC2">
              <w:rPr>
                <w:sz w:val="20"/>
                <w:szCs w:val="20"/>
                <w:lang w:val="es-MX"/>
              </w:rPr>
              <w:t>Visual</w:t>
            </w:r>
          </w:p>
        </w:tc>
        <w:tc>
          <w:tcPr>
            <w:tcW w:w="2098" w:type="dxa"/>
            <w:vAlign w:val="center"/>
            <w:hideMark/>
          </w:tcPr>
          <w:p w14:paraId="4E03F227"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Lectura, OCR y descripción de imágenes</w:t>
            </w:r>
          </w:p>
        </w:tc>
        <w:tc>
          <w:tcPr>
            <w:tcW w:w="2098" w:type="dxa"/>
            <w:vAlign w:val="center"/>
            <w:hideMark/>
          </w:tcPr>
          <w:p w14:paraId="086DAB72"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Validación de textos alternativos</w:t>
            </w:r>
          </w:p>
        </w:tc>
        <w:tc>
          <w:tcPr>
            <w:tcW w:w="2098" w:type="dxa"/>
            <w:vAlign w:val="center"/>
            <w:hideMark/>
          </w:tcPr>
          <w:p w14:paraId="7256EFC1"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Archivo accesible y apoyo humano</w:t>
            </w:r>
          </w:p>
        </w:tc>
      </w:tr>
      <w:tr w:rsidR="005575F8" w:rsidRPr="005575F8" w14:paraId="7ADD68E0" w14:textId="77777777" w:rsidTr="00AF1FC2">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741617B" w14:textId="77777777" w:rsidR="005575F8" w:rsidRPr="00AF1FC2" w:rsidRDefault="005575F8" w:rsidP="00AF1FC2">
            <w:pPr>
              <w:spacing w:before="0" w:after="0" w:line="240" w:lineRule="auto"/>
              <w:rPr>
                <w:sz w:val="20"/>
                <w:szCs w:val="20"/>
                <w:lang w:val="es-MX"/>
              </w:rPr>
            </w:pPr>
            <w:r w:rsidRPr="00AF1FC2">
              <w:rPr>
                <w:sz w:val="20"/>
                <w:szCs w:val="20"/>
                <w:lang w:val="es-MX"/>
              </w:rPr>
              <w:t>Auditiva</w:t>
            </w:r>
          </w:p>
        </w:tc>
        <w:tc>
          <w:tcPr>
            <w:tcW w:w="2098" w:type="dxa"/>
            <w:vAlign w:val="center"/>
            <w:hideMark/>
          </w:tcPr>
          <w:p w14:paraId="2245A837"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Subtítulos y transcripción</w:t>
            </w:r>
          </w:p>
        </w:tc>
        <w:tc>
          <w:tcPr>
            <w:tcW w:w="2098" w:type="dxa"/>
            <w:vAlign w:val="center"/>
            <w:hideMark/>
          </w:tcPr>
          <w:p w14:paraId="65531B9F"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Revisión en contenidos esenciales</w:t>
            </w:r>
          </w:p>
        </w:tc>
        <w:tc>
          <w:tcPr>
            <w:tcW w:w="2098" w:type="dxa"/>
            <w:vAlign w:val="center"/>
            <w:hideMark/>
          </w:tcPr>
          <w:p w14:paraId="40579434"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Transcripción editable e intérprete</w:t>
            </w:r>
          </w:p>
        </w:tc>
      </w:tr>
      <w:tr w:rsidR="005575F8" w:rsidRPr="005575F8" w14:paraId="702B83AD" w14:textId="77777777" w:rsidTr="00AF1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B0D5F59" w14:textId="77777777" w:rsidR="005575F8" w:rsidRPr="00AF1FC2" w:rsidRDefault="005575F8" w:rsidP="00AF1FC2">
            <w:pPr>
              <w:spacing w:before="0" w:after="0" w:line="240" w:lineRule="auto"/>
              <w:rPr>
                <w:sz w:val="20"/>
                <w:szCs w:val="20"/>
                <w:lang w:val="es-MX"/>
              </w:rPr>
            </w:pPr>
            <w:r w:rsidRPr="00AF1FC2">
              <w:rPr>
                <w:sz w:val="20"/>
                <w:szCs w:val="20"/>
                <w:lang w:val="es-MX"/>
              </w:rPr>
              <w:t>Motora o del habla</w:t>
            </w:r>
          </w:p>
        </w:tc>
        <w:tc>
          <w:tcPr>
            <w:tcW w:w="2098" w:type="dxa"/>
            <w:vAlign w:val="center"/>
            <w:hideMark/>
          </w:tcPr>
          <w:p w14:paraId="6B0FAA7A"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Dictado, predicción y control por voz</w:t>
            </w:r>
          </w:p>
        </w:tc>
        <w:tc>
          <w:tcPr>
            <w:tcW w:w="2098" w:type="dxa"/>
            <w:vAlign w:val="center"/>
            <w:hideMark/>
          </w:tcPr>
          <w:p w14:paraId="530BFFA8"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Operación completa por teclado</w:t>
            </w:r>
          </w:p>
        </w:tc>
        <w:tc>
          <w:tcPr>
            <w:tcW w:w="2098" w:type="dxa"/>
            <w:vAlign w:val="center"/>
            <w:hideMark/>
          </w:tcPr>
          <w:p w14:paraId="0E5BBB42" w14:textId="77777777" w:rsidR="005575F8" w:rsidRPr="00AF1FC2" w:rsidRDefault="005575F8" w:rsidP="00AF1FC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AF1FC2">
              <w:rPr>
                <w:sz w:val="20"/>
                <w:szCs w:val="20"/>
                <w:lang w:val="es-MX"/>
              </w:rPr>
              <w:t>Método alternativo de entrada</w:t>
            </w:r>
          </w:p>
        </w:tc>
      </w:tr>
      <w:tr w:rsidR="005575F8" w:rsidRPr="005575F8" w14:paraId="0FC14310" w14:textId="77777777" w:rsidTr="00AF1FC2">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0678699" w14:textId="77777777" w:rsidR="005575F8" w:rsidRPr="00AF1FC2" w:rsidRDefault="005575F8" w:rsidP="00AF1FC2">
            <w:pPr>
              <w:spacing w:before="0" w:after="0" w:line="240" w:lineRule="auto"/>
              <w:rPr>
                <w:sz w:val="20"/>
                <w:szCs w:val="20"/>
                <w:lang w:val="es-MX"/>
              </w:rPr>
            </w:pPr>
            <w:r w:rsidRPr="00AF1FC2">
              <w:rPr>
                <w:sz w:val="20"/>
                <w:szCs w:val="20"/>
                <w:lang w:val="es-MX"/>
              </w:rPr>
              <w:t>Cognitiva</w:t>
            </w:r>
          </w:p>
        </w:tc>
        <w:tc>
          <w:tcPr>
            <w:tcW w:w="2098" w:type="dxa"/>
            <w:vAlign w:val="center"/>
            <w:hideMark/>
          </w:tcPr>
          <w:p w14:paraId="2EA37413"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Organización, resumen y adaptación</w:t>
            </w:r>
          </w:p>
        </w:tc>
        <w:tc>
          <w:tcPr>
            <w:tcW w:w="2098" w:type="dxa"/>
            <w:vAlign w:val="center"/>
            <w:hideMark/>
          </w:tcPr>
          <w:p w14:paraId="4FA8C43C"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Fuente completa y personalización voluntaria</w:t>
            </w:r>
          </w:p>
        </w:tc>
        <w:tc>
          <w:tcPr>
            <w:tcW w:w="2098" w:type="dxa"/>
            <w:vAlign w:val="center"/>
            <w:hideMark/>
          </w:tcPr>
          <w:p w14:paraId="187D08A4" w14:textId="77777777" w:rsidR="005575F8" w:rsidRPr="00AF1FC2" w:rsidRDefault="005575F8" w:rsidP="00AF1FC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AF1FC2">
              <w:rPr>
                <w:sz w:val="20"/>
                <w:szCs w:val="20"/>
                <w:lang w:val="es-MX"/>
              </w:rPr>
              <w:t>Instrucciones claras sin automatización</w:t>
            </w:r>
          </w:p>
        </w:tc>
      </w:tr>
    </w:tbl>
    <w:p w14:paraId="04367B3B" w14:textId="77777777" w:rsidR="005575F8" w:rsidRPr="005575F8" w:rsidRDefault="005575F8" w:rsidP="005575F8">
      <w:pPr>
        <w:rPr>
          <w:lang w:val="es-MX"/>
        </w:rPr>
      </w:pPr>
      <w:r w:rsidRPr="005575F8">
        <w:rPr>
          <w:i/>
          <w:iCs/>
          <w:lang w:val="es-MX"/>
        </w:rPr>
        <w:t>Fuente: elaboración propia a partir de las referencias citadas en el apartado.</w:t>
      </w:r>
    </w:p>
    <w:p w14:paraId="392245AC" w14:textId="5B9673B6" w:rsidR="005575F8" w:rsidRPr="005575F8" w:rsidRDefault="005575F8" w:rsidP="00DA5159">
      <w:pPr>
        <w:pStyle w:val="Ttulo3"/>
        <w:rPr>
          <w:lang w:val="es-MX"/>
        </w:rPr>
      </w:pPr>
      <w:bookmarkStart w:id="131" w:name="_Toc239440988"/>
      <w:r w:rsidRPr="005575F8">
        <w:rPr>
          <w:lang w:val="es-MX"/>
        </w:rPr>
        <w:t>Diversidad motora, del habla y neurodiversidad</w:t>
      </w:r>
      <w:bookmarkEnd w:id="131"/>
    </w:p>
    <w:p w14:paraId="72D7BD02" w14:textId="77777777" w:rsidR="005575F8" w:rsidRPr="005575F8" w:rsidRDefault="005575F8" w:rsidP="005575F8">
      <w:pPr>
        <w:rPr>
          <w:lang w:val="es-MX"/>
        </w:rPr>
      </w:pPr>
      <w:r w:rsidRPr="005575F8">
        <w:rPr>
          <w:lang w:val="es-MX"/>
        </w:rPr>
        <w:t xml:space="preserve">Diversidad motora y del habla. En educación superior, los sistemas de dictado, predicción de palabras, seguimiento ocular y control por voz pueden reducir barreras de interacción su funcionamiento varía con la postura, la fatiga, el ruido, la calidad del micrófono y las características del habla. El contexto convierte una misma función en apoyo para unas personas y en obstáculo para otras, por lo que las conclusiones generales necesitan contraste local. Una interfaz que exige arrastrar objetos, responder con rapidez o usar exclusivamente voz puede excluir incluso cuando incorpora IA. Las ventajas prometidas necesitan compararse con los costos </w:t>
      </w:r>
      <w:r w:rsidRPr="005575F8">
        <w:rPr>
          <w:lang w:val="es-MX"/>
        </w:rPr>
        <w:lastRenderedPageBreak/>
        <w:t xml:space="preserve">de participación, privacidad, aprendizaje y soporte que soportan distintos grupos. El principio de operabilidad exige que todas las funciones puedan utilizarse mediante formas de interacción diversas (World Wide Web </w:t>
      </w:r>
      <w:proofErr w:type="spellStart"/>
      <w:r w:rsidRPr="005575F8">
        <w:rPr>
          <w:lang w:val="es-MX"/>
        </w:rPr>
        <w:t>Consortium</w:t>
      </w:r>
      <w:proofErr w:type="spellEnd"/>
      <w:r w:rsidRPr="005575F8">
        <w:rPr>
          <w:lang w:val="es-MX"/>
        </w:rPr>
        <w:t>, 2023).</w:t>
      </w:r>
    </w:p>
    <w:p w14:paraId="597AFAA6" w14:textId="77777777" w:rsidR="005575F8" w:rsidRPr="005575F8" w:rsidRDefault="005575F8" w:rsidP="005575F8">
      <w:pPr>
        <w:rPr>
          <w:lang w:val="es-MX"/>
        </w:rPr>
      </w:pPr>
      <w:r w:rsidRPr="005575F8">
        <w:rPr>
          <w:lang w:val="es-MX"/>
        </w:rPr>
        <w:t xml:space="preserve">La respuesta institucional requiere asegurar operación completa por teclado, ofrecer controles ajustables y permitir modalidades alternativas de entrada y respuesta Conviene probar la solución en contextos diversos, documentar sus límites y conservar una alternativa equivalente mientras se corrigen problemas. El avance puede examinarse mediante número de tareas </w:t>
      </w:r>
      <w:proofErr w:type="spellStart"/>
      <w:r w:rsidRPr="005575F8">
        <w:rPr>
          <w:lang w:val="es-MX"/>
        </w:rPr>
        <w:t>completables</w:t>
      </w:r>
      <w:proofErr w:type="spellEnd"/>
      <w:r w:rsidRPr="005575F8">
        <w:rPr>
          <w:lang w:val="es-MX"/>
        </w:rPr>
        <w:t xml:space="preserve"> sin ratón, tiempo requerido y errores de interacción Diseñadores y docentes deben probar recorridos completos, no solo componentes aislados. Los resultados adquieren sentido cuando se interpretan junto con las personas que viven las barreras.</w:t>
      </w:r>
    </w:p>
    <w:p w14:paraId="5DEE9522" w14:textId="77777777" w:rsidR="005575F8" w:rsidRPr="005575F8" w:rsidRDefault="005575F8" w:rsidP="005575F8">
      <w:pPr>
        <w:rPr>
          <w:lang w:val="es-MX"/>
        </w:rPr>
      </w:pPr>
      <w:r w:rsidRPr="005575F8">
        <w:rPr>
          <w:lang w:val="es-MX"/>
        </w:rPr>
        <w:t>Neurodiversidad y diferencias cognitivas. La IA puede ayudar a organizar tareas, resumir instrucciones, generar ejemplos y ajustar la presentación de información estas funciones son valiosas para algunas personas con dificultades de atención, memoria de trabajo, lectura o planificación. Una solución técnicamente disponible puede seguir siendo educativa y socialmente inaccesible si presupone recursos que no toda la comunidad posee. La simplificación automática puede eliminar matices, infantilizar el lenguaje o fomentar una dependencia que reduce oportunidades de desarrollar estrategias propias. Las consecuencias deben analizarse durante todo el ciclo de vida, porque una actualización puede modificar costos, requisitos o accesibilidad. La educación inclusiva reconoce la variabilidad como característica ordinaria de cualquier grupo y no como excepción (UNESCO, 2020).</w:t>
      </w:r>
    </w:p>
    <w:p w14:paraId="24DC2999" w14:textId="77777777" w:rsidR="005575F8" w:rsidRPr="005575F8" w:rsidRDefault="005575F8" w:rsidP="005575F8">
      <w:pPr>
        <w:rPr>
          <w:lang w:val="es-MX"/>
        </w:rPr>
      </w:pPr>
      <w:r w:rsidRPr="005575F8">
        <w:rPr>
          <w:lang w:val="es-MX"/>
        </w:rPr>
        <w:t>La respuesta institucional debe comenzar por permitir personalización voluntaria, mostrar la fuente completa y enseñar a verificar cualquier transformación El diseño debe combinar una base universal con ajustes específicos, de modo que la ayuda responda a barreras reales sin estigmatizar. El avance puede examinarse mediante comprensión, control del usuario, transferencia de estrategias y frecuencia de correcciones necesarias Los apoyos deben acordarse con cada estudiante y revisarse según la tarea, sin asumir preferencias a partir de un diagnóstico. La mejora continua requiere conservar memoria de los problemas y verificar que no reaparezcan en versiones posteriores.</w:t>
      </w:r>
    </w:p>
    <w:p w14:paraId="2D3489CE" w14:textId="301EEBE1" w:rsidR="005575F8" w:rsidRPr="005575F8" w:rsidRDefault="005575F8" w:rsidP="00670E3C">
      <w:pPr>
        <w:pStyle w:val="Ttulo3"/>
        <w:rPr>
          <w:lang w:val="es-MX"/>
        </w:rPr>
      </w:pPr>
      <w:bookmarkStart w:id="132" w:name="_Toc239440989"/>
      <w:r w:rsidRPr="005575F8">
        <w:rPr>
          <w:lang w:val="es-MX"/>
        </w:rPr>
        <w:t>Salud mental, carga digital y diversidad cultural</w:t>
      </w:r>
      <w:bookmarkEnd w:id="132"/>
    </w:p>
    <w:p w14:paraId="539778A7" w14:textId="77777777" w:rsidR="005575F8" w:rsidRPr="005575F8" w:rsidRDefault="005575F8" w:rsidP="005575F8">
      <w:pPr>
        <w:rPr>
          <w:lang w:val="es-MX"/>
        </w:rPr>
      </w:pPr>
      <w:r w:rsidRPr="005575F8">
        <w:rPr>
          <w:lang w:val="es-MX"/>
        </w:rPr>
        <w:t xml:space="preserve">Salud mental y carga digital. La interacción permanente con plataformas, alertas y sistemas de seguimiento puede incrementar ansiedad, fatiga y sensación de vigilancia un asistente disponible a toda hora no sustituye relaciones humanas ni servicios profesionales de salud y orientación. El beneficio educativo depende tanto de la tecnología como de las normas, apoyos y relaciones humanas que organizan su utilización. Inferir estados emocionales con señales débiles puede producir clasificaciones erróneas, estigmatización o intervenciones intrusivas. Si esta desigualdad </w:t>
      </w:r>
      <w:r w:rsidRPr="005575F8">
        <w:rPr>
          <w:lang w:val="es-MX"/>
        </w:rPr>
        <w:lastRenderedPageBreak/>
        <w:t>se atribuye al esfuerzo individual, la organización evita examinar las decisiones que producen o agravan la desventaja. Los datos educativos requieren consideración especial por las asimetrías de poder y las consecuencias de las inferencias (Slade &amp; Prinsloo, 2013).</w:t>
      </w:r>
    </w:p>
    <w:p w14:paraId="74FC902E" w14:textId="77777777" w:rsidR="005575F8" w:rsidRPr="005575F8" w:rsidRDefault="005575F8" w:rsidP="005575F8">
      <w:pPr>
        <w:rPr>
          <w:lang w:val="es-MX"/>
        </w:rPr>
      </w:pPr>
      <w:r w:rsidRPr="005575F8">
        <w:rPr>
          <w:lang w:val="es-MX"/>
        </w:rPr>
        <w:t>La respuesta institucional se concreta al limitar inferencias sensibles, ofrecer controles de notificación y conservar rutas confidenciales de apoyo humano La medida ha de ofrecerse sin trámites innecesarios y sin obligar al estudiante a revelar repetidamente una condición sensible. El avance puede examinarse mediante bienestar percibido, uso voluntario, falsos avisos y derivaciones atendidas con consentimiento Bienestar estudiantil, protección de datos y docencia deben definir juntos los límites de cualquier sistema de alerta. La evidencia resultante debe orientar ajustes y comunicarse de forma comprensible a la comunidad.</w:t>
      </w:r>
    </w:p>
    <w:p w14:paraId="18343C09" w14:textId="77777777" w:rsidR="005575F8" w:rsidRPr="005575F8" w:rsidRDefault="005575F8" w:rsidP="005575F8">
      <w:pPr>
        <w:rPr>
          <w:lang w:val="es-MX"/>
        </w:rPr>
      </w:pPr>
      <w:r w:rsidRPr="005575F8">
        <w:rPr>
          <w:lang w:val="es-MX"/>
        </w:rPr>
        <w:t>Diversidad lingüística y cultural. La traducción y la generación multilingüe pueden ampliar el acceso a instrucciones, bibliografía y servicios para estudiantes indígenas, migrantes o internacionales, la lengua condiciona tanto la comprensión como el reconocimiento de su identidad. Desde un enfoque de derechos, la atención se desplaza de una supuesta insuficiencia personal hacia las barreras creadas por el entorno. Los modelos con menor representación lingüística pueden producir traducciones imprecisas, borrar conceptos culturales o responder con estereotipos. La responsabilidad corresponde a la institución que selecciona y organiza el recurso, no solo a la persona que intenta adaptarse a él. Los modelos reflejan desigualdades de los datos con los que fueron desarrollados y requieren evaluación contextual (Bender et al., 2021; UNESCO, 2021).</w:t>
      </w:r>
    </w:p>
    <w:p w14:paraId="26EFDA8C" w14:textId="77777777" w:rsidR="005575F8" w:rsidRPr="005575F8" w:rsidRDefault="005575F8" w:rsidP="005575F8">
      <w:pPr>
        <w:rPr>
          <w:lang w:val="es-MX"/>
        </w:rPr>
      </w:pPr>
      <w:r w:rsidRPr="005575F8">
        <w:rPr>
          <w:lang w:val="es-MX"/>
        </w:rPr>
        <w:t>La respuesta institucional consiste en validar terminología con hablantes competentes, conservar la versión de origen y admitir correcciones comunitarias Su aplicación requiere coordinar docencia, tecnología, bienestar, bibliotecas y gestión, pues ninguna unidad controla por sí sola toda la experiencia. El avance puede examinarse mediante errores conceptuales por lengua, cobertura de servicios y satisfacción de comunidades lingüísticas Las universidades deben colaborar con organizaciones y expertos locales, especialmente cuando trabajan con lenguas históricamente subordinadas. El seguimiento permite saber si el apoyo reduce la barrera o si simplemente desplaza el problema hacia otra etapa.</w:t>
      </w:r>
    </w:p>
    <w:p w14:paraId="5A9FE5F4" w14:textId="5FD99F1E" w:rsidR="005575F8" w:rsidRPr="005575F8" w:rsidRDefault="005575F8" w:rsidP="00420B76">
      <w:pPr>
        <w:pStyle w:val="Ttulo3"/>
        <w:rPr>
          <w:lang w:val="es-MX"/>
        </w:rPr>
      </w:pPr>
      <w:bookmarkStart w:id="133" w:name="_Toc239440990"/>
      <w:r w:rsidRPr="005575F8">
        <w:rPr>
          <w:lang w:val="es-MX"/>
        </w:rPr>
        <w:t xml:space="preserve">Autonomía, privacidad, </w:t>
      </w:r>
      <w:proofErr w:type="spellStart"/>
      <w:r w:rsidRPr="005575F8">
        <w:rPr>
          <w:lang w:val="es-MX"/>
        </w:rPr>
        <w:t>codiseño</w:t>
      </w:r>
      <w:proofErr w:type="spellEnd"/>
      <w:r w:rsidRPr="005575F8">
        <w:rPr>
          <w:lang w:val="es-MX"/>
        </w:rPr>
        <w:t xml:space="preserve"> y evaluación</w:t>
      </w:r>
      <w:bookmarkEnd w:id="133"/>
    </w:p>
    <w:p w14:paraId="4345AB37" w14:textId="77777777" w:rsidR="005575F8" w:rsidRPr="005575F8" w:rsidRDefault="005575F8" w:rsidP="005575F8">
      <w:pPr>
        <w:rPr>
          <w:lang w:val="es-MX"/>
        </w:rPr>
      </w:pPr>
      <w:r w:rsidRPr="005575F8">
        <w:rPr>
          <w:lang w:val="es-MX"/>
        </w:rPr>
        <w:t xml:space="preserve">Autonomía, consentimiento y privacidad. En educación superior, una herramienta de apoyo puede requerir datos sobre discapacidad, desempeño o preferencias de interacción esa información es sensible y su revelación puede exponer a discriminación si se reutiliza fuera de la finalidad acordada. La cuestión central consiste en saber si el diseño amplía opciones reales o si obliga a todos a ajustarse a un usuario idealizado. Obligar a declarar un diagnóstico para acceder a funciones básicas convierte la asistencia en una forma de vigilancia. Una intervención apresurada </w:t>
      </w:r>
      <w:r w:rsidRPr="005575F8">
        <w:rPr>
          <w:lang w:val="es-MX"/>
        </w:rPr>
        <w:lastRenderedPageBreak/>
        <w:t>corre el riesgo de digitalizar una exclusión previa y otorgarle una apariencia de eficiencia. La privacidad debe gestionarse como un riesgo institucional y no como una carga transferida al consentimiento individual (</w:t>
      </w:r>
      <w:proofErr w:type="spellStart"/>
      <w:r w:rsidRPr="005575F8">
        <w:rPr>
          <w:lang w:val="es-MX"/>
        </w:rPr>
        <w:t>National</w:t>
      </w:r>
      <w:proofErr w:type="spellEnd"/>
      <w:r w:rsidRPr="005575F8">
        <w:rPr>
          <w:lang w:val="es-MX"/>
        </w:rPr>
        <w:t xml:space="preserve"> </w:t>
      </w:r>
      <w:proofErr w:type="spellStart"/>
      <w:r w:rsidRPr="005575F8">
        <w:rPr>
          <w:lang w:val="es-MX"/>
        </w:rPr>
        <w:t>Institute</w:t>
      </w:r>
      <w:proofErr w:type="spellEnd"/>
      <w:r w:rsidRPr="005575F8">
        <w:rPr>
          <w:lang w:val="es-MX"/>
        </w:rPr>
        <w:t xml:space="preserve"> </w:t>
      </w:r>
      <w:proofErr w:type="spellStart"/>
      <w:r w:rsidRPr="005575F8">
        <w:rPr>
          <w:lang w:val="es-MX"/>
        </w:rPr>
        <w:t>of</w:t>
      </w:r>
      <w:proofErr w:type="spellEnd"/>
      <w:r w:rsidRPr="005575F8">
        <w:rPr>
          <w:lang w:val="es-MX"/>
        </w:rPr>
        <w:t xml:space="preserve"> </w:t>
      </w:r>
      <w:proofErr w:type="spellStart"/>
      <w:r w:rsidRPr="005575F8">
        <w:rPr>
          <w:lang w:val="es-MX"/>
        </w:rPr>
        <w:t>Standards</w:t>
      </w:r>
      <w:proofErr w:type="spellEnd"/>
      <w:r w:rsidRPr="005575F8">
        <w:rPr>
          <w:lang w:val="es-MX"/>
        </w:rPr>
        <w:t xml:space="preserve"> and </w:t>
      </w:r>
      <w:proofErr w:type="spellStart"/>
      <w:r w:rsidRPr="005575F8">
        <w:rPr>
          <w:lang w:val="es-MX"/>
        </w:rPr>
        <w:t>Technology</w:t>
      </w:r>
      <w:proofErr w:type="spellEnd"/>
      <w:r w:rsidRPr="005575F8">
        <w:rPr>
          <w:lang w:val="es-MX"/>
        </w:rPr>
        <w:t>, 2020).</w:t>
      </w:r>
    </w:p>
    <w:p w14:paraId="62C63432" w14:textId="77777777" w:rsidR="005575F8" w:rsidRPr="005575F8" w:rsidRDefault="005575F8" w:rsidP="005575F8">
      <w:pPr>
        <w:rPr>
          <w:lang w:val="es-MX"/>
        </w:rPr>
      </w:pPr>
      <w:r w:rsidRPr="005575F8">
        <w:rPr>
          <w:lang w:val="es-MX"/>
        </w:rPr>
        <w:t>La respuesta institucional requiere minimizar datos, separar apoyos de decisiones sancionadoras y permitir configurar o rechazar el sistema sin penalización La acción debe incorporarse a la planificación ordinaria, con presupuesto, responsables, plazos y una vía accesible para comunicar dificultades. El avance puede examinarse mediante cantidad de datos solicitados, finalidades declaradas, accesos registrados y alternativas disponibles Los responsables institucionales deben explicar en lenguaje claro qué se recopila, por cuánto tiempo y con qué derechos. Así, la inclusión se convierte en un criterio previo de calidad y no en una reparación excepcional.</w:t>
      </w:r>
    </w:p>
    <w:p w14:paraId="68CD4C7C" w14:textId="77777777" w:rsidR="005575F8" w:rsidRPr="005575F8" w:rsidRDefault="005575F8" w:rsidP="005575F8">
      <w:pPr>
        <w:rPr>
          <w:lang w:val="es-MX"/>
        </w:rPr>
      </w:pPr>
      <w:proofErr w:type="spellStart"/>
      <w:r w:rsidRPr="005575F8">
        <w:rPr>
          <w:lang w:val="es-MX"/>
        </w:rPr>
        <w:t>Codiseño</w:t>
      </w:r>
      <w:proofErr w:type="spellEnd"/>
      <w:r w:rsidRPr="005575F8">
        <w:rPr>
          <w:lang w:val="es-MX"/>
        </w:rPr>
        <w:t xml:space="preserve"> y evaluación con estudiantes. Las personas que enfrentan barreras poseen conocimiento indispensable para evaluar una tecnología educativa las pruebas técnicas no revelan siempre la fatiga, la pérdida de dignidad o las estrategias informales necesarias para completar una tarea. La disponibilidad formal, por sí sola, no demuestra que el recurso pueda utilizarse de manera continua, autónoma y académicamente provechosa. Consultar después de la compra limita la capacidad de cambiar requisitos y convierte la participación en una formalidad. La heterogeneidad de la comunidad universitaria requiere respuestas flexibles y evita considerar una única experiencia como norma. La accesibilidad sostenible se fortalece cuando se integra en procesos organizacionales y se evalúa con usuarios reales (Lazar et al., 2015; Seale, 2014).</w:t>
      </w:r>
    </w:p>
    <w:p w14:paraId="26FC2796" w14:textId="77777777" w:rsidR="005575F8" w:rsidRDefault="005575F8" w:rsidP="005575F8">
      <w:pPr>
        <w:rPr>
          <w:lang w:val="es-MX"/>
        </w:rPr>
      </w:pPr>
      <w:r w:rsidRPr="005575F8">
        <w:rPr>
          <w:lang w:val="es-MX"/>
        </w:rPr>
        <w:t xml:space="preserve">La respuesta institucional debe comenzar por incluir estudiantes diversos desde la definición del problema, remunerar su contribución y documentar cómo influyó en la decisión El criterio tiene que formar parte de la garantía de calidad y ser exigible a unidades internas y proveedores externos. El avance puede examinarse mediante cambios derivados del </w:t>
      </w:r>
      <w:proofErr w:type="spellStart"/>
      <w:r w:rsidRPr="005575F8">
        <w:rPr>
          <w:lang w:val="es-MX"/>
        </w:rPr>
        <w:t>codiseño</w:t>
      </w:r>
      <w:proofErr w:type="spellEnd"/>
      <w:r w:rsidRPr="005575F8">
        <w:rPr>
          <w:lang w:val="es-MX"/>
        </w:rPr>
        <w:t>, diversidad de participantes y resolución de problemas identificados La participación debe ofrecer formatos accesibles y evitar que una sola persona represente a colectivos heterogéneos. La revisión periódica protege la dignidad y distribuye institucionalmente la responsabilidad por los resultados.</w:t>
      </w:r>
    </w:p>
    <w:p w14:paraId="3287669B" w14:textId="6B85C4CD" w:rsidR="005575F8" w:rsidRPr="005575F8" w:rsidRDefault="005575F8" w:rsidP="00420B76">
      <w:pPr>
        <w:pStyle w:val="Ttulo2"/>
        <w:rPr>
          <w:lang w:val="es-MX"/>
        </w:rPr>
      </w:pPr>
      <w:bookmarkStart w:id="134" w:name="_Toc239440991"/>
      <w:r w:rsidRPr="005575F8">
        <w:rPr>
          <w:lang w:val="es-MX"/>
        </w:rPr>
        <w:t>Accesibilidad digital</w:t>
      </w:r>
      <w:bookmarkEnd w:id="134"/>
    </w:p>
    <w:p w14:paraId="0F781C3B" w14:textId="1B325DA0" w:rsidR="005575F8" w:rsidRPr="005575F8" w:rsidRDefault="005575F8" w:rsidP="00420B76">
      <w:pPr>
        <w:pStyle w:val="Ttulo3"/>
        <w:rPr>
          <w:lang w:val="es-MX"/>
        </w:rPr>
      </w:pPr>
      <w:bookmarkStart w:id="135" w:name="_Toc239440992"/>
      <w:r w:rsidRPr="005575F8">
        <w:rPr>
          <w:lang w:val="es-MX"/>
        </w:rPr>
        <w:t>Accesibilidad como proceso institucional de calidad</w:t>
      </w:r>
      <w:bookmarkEnd w:id="135"/>
    </w:p>
    <w:p w14:paraId="0DDFC7B2" w14:textId="77777777" w:rsidR="005575F8" w:rsidRPr="005575F8" w:rsidRDefault="005575F8" w:rsidP="005575F8">
      <w:pPr>
        <w:rPr>
          <w:lang w:val="es-MX"/>
        </w:rPr>
      </w:pPr>
      <w:r w:rsidRPr="005575F8">
        <w:rPr>
          <w:lang w:val="es-MX"/>
        </w:rPr>
        <w:t xml:space="preserve">Accesibilidad como proceso de calidad. La accesibilidad digital no es una lista que se completa una vez, sino una práctica que acompaña diseño, publicación, mantenimiento y renovación cada actualización de una plataforma o incorporación de contenido puede crear barreras nuevas. En este ámbito, las condiciones materiales y las decisiones pedagógicas se refuerzan mutuamente y determinan la participación posible. Una certificación inicial pierde valor cuando no existe control sobre los cambios posteriores. La IA puede ofrecer mediaciones útiles, aunque también incorpora </w:t>
      </w:r>
      <w:r w:rsidRPr="005575F8">
        <w:rPr>
          <w:lang w:val="es-MX"/>
        </w:rPr>
        <w:lastRenderedPageBreak/>
        <w:t xml:space="preserve">dependencias comerciales, incertidumbre y nuevas formas de clasificación. La accesibilidad sostenida depende de procesos, responsabilidades y prácticas institucionales explícitas (International </w:t>
      </w:r>
      <w:proofErr w:type="spellStart"/>
      <w:r w:rsidRPr="005575F8">
        <w:rPr>
          <w:lang w:val="es-MX"/>
        </w:rPr>
        <w:t>Organization</w:t>
      </w:r>
      <w:proofErr w:type="spellEnd"/>
      <w:r w:rsidRPr="005575F8">
        <w:rPr>
          <w:lang w:val="es-MX"/>
        </w:rPr>
        <w:t xml:space="preserve"> </w:t>
      </w:r>
      <w:proofErr w:type="spellStart"/>
      <w:r w:rsidRPr="005575F8">
        <w:rPr>
          <w:lang w:val="es-MX"/>
        </w:rPr>
        <w:t>for</w:t>
      </w:r>
      <w:proofErr w:type="spellEnd"/>
      <w:r w:rsidRPr="005575F8">
        <w:rPr>
          <w:lang w:val="es-MX"/>
        </w:rPr>
        <w:t xml:space="preserve"> </w:t>
      </w:r>
      <w:proofErr w:type="spellStart"/>
      <w:r w:rsidRPr="005575F8">
        <w:rPr>
          <w:lang w:val="es-MX"/>
        </w:rPr>
        <w:t>Standardization</w:t>
      </w:r>
      <w:proofErr w:type="spellEnd"/>
      <w:r w:rsidRPr="005575F8">
        <w:rPr>
          <w:lang w:val="es-MX"/>
        </w:rPr>
        <w:t>, 2019; Lazar et al., 2015).</w:t>
      </w:r>
    </w:p>
    <w:p w14:paraId="5CFCBD59" w14:textId="77777777" w:rsidR="005575F8" w:rsidRPr="005575F8" w:rsidRDefault="005575F8" w:rsidP="005575F8">
      <w:pPr>
        <w:rPr>
          <w:lang w:val="es-MX"/>
        </w:rPr>
      </w:pPr>
      <w:r w:rsidRPr="005575F8">
        <w:rPr>
          <w:lang w:val="es-MX"/>
        </w:rPr>
        <w:t>La respuesta institucional debe comenzar por definir una política, asignar responsables, incorporar controles en cada flujo de trabajo y publicar mecanismos de reporte El diseño debe combinar una base universal con ajustes específicos, de modo que la ayuda responda a barreras reales sin estigmatizar. El avance puede examinarse mediante incidencias por versión, tiempos de corrección, cobertura de auditorías y satisfacción de usuarios La alta dirección debe vincular estas obligaciones con calidad académica, compras y gestión de riesgos. La meta es ampliar capacidades y opciones reales, no alcanzar una cifra de adopción desvinculada del aprendizaje.</w:t>
      </w:r>
    </w:p>
    <w:p w14:paraId="66F8D652" w14:textId="77777777" w:rsidR="005575F8" w:rsidRPr="005575F8" w:rsidRDefault="005575F8" w:rsidP="005575F8">
      <w:pPr>
        <w:rPr>
          <w:lang w:val="es-MX"/>
        </w:rPr>
      </w:pPr>
      <w:r w:rsidRPr="005575F8">
        <w:rPr>
          <w:lang w:val="es-MX"/>
        </w:rPr>
        <w:t xml:space="preserve">Principios perceptible, operable, comprensible y robusto. Las pautas internacionales organizan la accesibilidad web alrededor de cuatro principios complementarios la información debe poder percibirse, las funciones deben operarse, la interacción debe comprenderse y el contenido debe funcionar con agentes de usuario diversos. El contexto convierte una misma función en apoyo para unas personas y en obstáculo para otras, por lo que las conclusiones generales necesitan contraste local. Cumplir algunos criterios aislados no compensa una ruta crítica que bloquea matrícula, evaluación o solicitud de apoyo. La ausencia de una queja no prueba que la experiencia sea inclusiva, pues solicitar ayuda también puede resultar difícil o estigmatizante. WCAG 2.2 contiene pautas y criterios verificables en niveles A, AA y AAA (World Wide Web </w:t>
      </w:r>
      <w:proofErr w:type="spellStart"/>
      <w:r w:rsidRPr="005575F8">
        <w:rPr>
          <w:lang w:val="es-MX"/>
        </w:rPr>
        <w:t>Consortium</w:t>
      </w:r>
      <w:proofErr w:type="spellEnd"/>
      <w:r w:rsidRPr="005575F8">
        <w:rPr>
          <w:lang w:val="es-MX"/>
        </w:rPr>
        <w:t>, 2023).</w:t>
      </w:r>
    </w:p>
    <w:p w14:paraId="73430391" w14:textId="77777777" w:rsidR="005575F8" w:rsidRDefault="005575F8" w:rsidP="005575F8">
      <w:pPr>
        <w:rPr>
          <w:lang w:val="es-MX"/>
        </w:rPr>
      </w:pPr>
      <w:r w:rsidRPr="005575F8">
        <w:rPr>
          <w:lang w:val="es-MX"/>
        </w:rPr>
        <w:t xml:space="preserve">La respuesta institucional se concreta al mapear los recorridos académicos esenciales y evaluar cada uno contra el nivel de conformidad adoptado La medida ha de ofrecerse sin trámites innecesarios y sin obligar al estudiante a revelar repetidamente una condición sensible. El avance puede examinarse mediante porcentaje de tareas críticas </w:t>
      </w:r>
      <w:proofErr w:type="spellStart"/>
      <w:r w:rsidRPr="005575F8">
        <w:rPr>
          <w:lang w:val="es-MX"/>
        </w:rPr>
        <w:t>completables</w:t>
      </w:r>
      <w:proofErr w:type="spellEnd"/>
      <w:r w:rsidRPr="005575F8">
        <w:rPr>
          <w:lang w:val="es-MX"/>
        </w:rPr>
        <w:t>, severidad de barreras y compatibilidad tecnológica Los resultados deben publicarse con fechas de corrección y no reducirse a una declaración genérica. La comparación entre grupos debe proteger la privacidad y evitar categorías que reproduzcan estigmas.</w:t>
      </w:r>
    </w:p>
    <w:p w14:paraId="51B1CC2E" w14:textId="48EA91E7" w:rsidR="006D6A40" w:rsidRPr="005575F8" w:rsidRDefault="00925BB7" w:rsidP="005575F8">
      <w:pPr>
        <w:rPr>
          <w:lang w:val="es-MX"/>
        </w:rPr>
      </w:pPr>
      <w:r>
        <w:rPr>
          <w:noProof/>
          <w:lang w:val="es-MX"/>
        </w:rPr>
        <w:lastRenderedPageBreak/>
        <w:drawing>
          <wp:inline distT="0" distB="0" distL="0" distR="0" wp14:anchorId="40933372" wp14:editId="69EC340A">
            <wp:extent cx="5400675" cy="3600450"/>
            <wp:effectExtent l="0" t="0" r="9525" b="0"/>
            <wp:docPr id="1434034670"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6CECD493" w14:textId="07B1108A" w:rsidR="005575F8" w:rsidRPr="005575F8" w:rsidRDefault="005575F8" w:rsidP="00420B76">
      <w:pPr>
        <w:pStyle w:val="Ttulo3"/>
        <w:rPr>
          <w:lang w:val="es-MX"/>
        </w:rPr>
      </w:pPr>
      <w:bookmarkStart w:id="136" w:name="_Toc239440993"/>
      <w:r w:rsidRPr="005575F8">
        <w:rPr>
          <w:lang w:val="es-MX"/>
        </w:rPr>
        <w:t>Estructura semántica, navegación, teclado y tiempo</w:t>
      </w:r>
      <w:bookmarkEnd w:id="136"/>
    </w:p>
    <w:p w14:paraId="54A3F1D4" w14:textId="77777777" w:rsidR="005575F8" w:rsidRPr="005575F8" w:rsidRDefault="005575F8" w:rsidP="005575F8">
      <w:pPr>
        <w:rPr>
          <w:lang w:val="es-MX"/>
        </w:rPr>
      </w:pPr>
      <w:r w:rsidRPr="005575F8">
        <w:rPr>
          <w:lang w:val="es-MX"/>
        </w:rPr>
        <w:t xml:space="preserve">Estructura semántica y navegación. Los encabezados, listas, regiones, tablas y enlaces deben expresar relaciones lógicas en el código y en la presentación una apariencia visual ordenada puede ser confusa para quien navega por teclado o escucha el contenido mediante un lector de pantalla. Una solución técnicamente disponible puede seguir siendo educativa y socialmente inaccesible si presupone recursos que no toda la comunidad posee. Los enlaces ambiguos, el orden incoherente y las tablas usadas para maquetación aumentan la carga cognitiva y el tiempo de búsqueda. Los promedios institucionales pueden ocultar diferencias sistemáticas entre territorios, grupos y modalidades de estudio. La robustez semántica permite que distintas tecnologías de asistencia interpreten el mismo contenido (World Wide Web </w:t>
      </w:r>
      <w:proofErr w:type="spellStart"/>
      <w:r w:rsidRPr="005575F8">
        <w:rPr>
          <w:lang w:val="es-MX"/>
        </w:rPr>
        <w:t>Consortium</w:t>
      </w:r>
      <w:proofErr w:type="spellEnd"/>
      <w:r w:rsidRPr="005575F8">
        <w:rPr>
          <w:lang w:val="es-MX"/>
        </w:rPr>
        <w:t>, 2023).</w:t>
      </w:r>
    </w:p>
    <w:p w14:paraId="3081378B" w14:textId="77777777" w:rsidR="005575F8" w:rsidRPr="005575F8" w:rsidRDefault="005575F8" w:rsidP="005575F8">
      <w:pPr>
        <w:rPr>
          <w:lang w:val="es-MX"/>
        </w:rPr>
      </w:pPr>
      <w:r w:rsidRPr="005575F8">
        <w:rPr>
          <w:lang w:val="es-MX"/>
        </w:rPr>
        <w:t>La respuesta institucional consiste en emplear componentes semánticos, títulos descriptivos, rutas consistentes y enlaces cuyo propósito se entienda fuera de contexto Su aplicación requiere coordinar docencia, tecnología, bienestar, bibliotecas y gestión, pues ninguna unidad controla por sí sola toda la experiencia. El avance puede examinarse mediante jerarquías válidas, orden de foco, tiempo de localización y errores de navegación Autores y desarrolladores deben compartir plantillas accesibles y validar contenido antes de publicarlo. Los resultados adquieren sentido cuando se interpretan junto con las personas que viven las barreras.</w:t>
      </w:r>
    </w:p>
    <w:p w14:paraId="683CAE0E" w14:textId="77777777" w:rsidR="005575F8" w:rsidRPr="005575F8" w:rsidRDefault="005575F8" w:rsidP="005575F8">
      <w:pPr>
        <w:rPr>
          <w:lang w:val="es-MX"/>
        </w:rPr>
      </w:pPr>
      <w:r w:rsidRPr="005575F8">
        <w:rPr>
          <w:lang w:val="es-MX"/>
        </w:rPr>
        <w:t xml:space="preserve">Teclado, foco y tiempo. En educación superior, toda función esencial debe estar disponible sin ratón y mostrar con claridad dónde se encuentra el foco las personas que usan teclado, interruptores o tecnologías de voz dependen de un orden predecible y controles alcanzables. El </w:t>
      </w:r>
      <w:r w:rsidRPr="005575F8">
        <w:rPr>
          <w:lang w:val="es-MX"/>
        </w:rPr>
        <w:lastRenderedPageBreak/>
        <w:t xml:space="preserve">beneficio educativo depende tanto de la tecnología como de las normas, apoyos y relaciones humanas que organizan su utilización. Límites de tiempo rígidos, atajos inesperados o ventanas que capturan el foco pueden impedir terminar una actividad. El objetivo educativo debe mantenerse visible para impedir que las exigencias de la herramienta sustituyan los resultados de aprendizaje. La operabilidad es una condición funcional, no una preferencia estética (World Wide Web </w:t>
      </w:r>
      <w:proofErr w:type="spellStart"/>
      <w:r w:rsidRPr="005575F8">
        <w:rPr>
          <w:lang w:val="es-MX"/>
        </w:rPr>
        <w:t>Consortium</w:t>
      </w:r>
      <w:proofErr w:type="spellEnd"/>
      <w:r w:rsidRPr="005575F8">
        <w:rPr>
          <w:lang w:val="es-MX"/>
        </w:rPr>
        <w:t>, 2023).</w:t>
      </w:r>
    </w:p>
    <w:p w14:paraId="7AEE31C3" w14:textId="77777777" w:rsidR="005575F8" w:rsidRPr="005575F8" w:rsidRDefault="005575F8" w:rsidP="005575F8">
      <w:pPr>
        <w:rPr>
          <w:lang w:val="es-MX"/>
        </w:rPr>
      </w:pPr>
      <w:r w:rsidRPr="005575F8">
        <w:rPr>
          <w:lang w:val="es-MX"/>
        </w:rPr>
        <w:t>La respuesta institucional requiere permitir ampliar tiempos, evitar trampas de teclado, mantener indicadores visibles y ofrecer pausas en contenidos móviles La acción debe incorporarse a la planificación ordinaria, con presupuesto, responsables, plazos y una vía accesible para comunicar dificultades. El avance puede examinarse mediante recorridos completados solo con teclado, pérdidas de foco y solicitudes de extensión La prueba debe abarcar desde el ingreso hasta la confirmación final de cada trámite o evaluación. La mejora continua requiere conservar memoria de los problemas y verificar que no reaparezcan en versiones posteriores.</w:t>
      </w:r>
    </w:p>
    <w:p w14:paraId="1EF80E83" w14:textId="54DEED2B" w:rsidR="005575F8" w:rsidRPr="005575F8" w:rsidRDefault="005575F8" w:rsidP="00164AC5">
      <w:pPr>
        <w:pStyle w:val="Ttulo3"/>
        <w:rPr>
          <w:lang w:val="es-MX"/>
        </w:rPr>
      </w:pPr>
      <w:bookmarkStart w:id="137" w:name="_Toc239440994"/>
      <w:r w:rsidRPr="005575F8">
        <w:rPr>
          <w:lang w:val="es-MX"/>
        </w:rPr>
        <w:t>Color, contraste y alternativas multimedia</w:t>
      </w:r>
      <w:bookmarkEnd w:id="137"/>
    </w:p>
    <w:p w14:paraId="2D51770E" w14:textId="77777777" w:rsidR="005575F8" w:rsidRPr="005575F8" w:rsidRDefault="005575F8" w:rsidP="005575F8">
      <w:pPr>
        <w:rPr>
          <w:lang w:val="es-MX"/>
        </w:rPr>
      </w:pPr>
      <w:r w:rsidRPr="005575F8">
        <w:rPr>
          <w:lang w:val="es-MX"/>
        </w:rPr>
        <w:t>Color, contraste y presentación. El significado no debe comunicarse exclusivamente mediante color, posición o percepción visual fina un contraste suficiente, tipografía legible y capacidad de ampliar el contenido benefician a personas con baja visión y a quienes estudian en pantallas pequeñas o ambientes luminosos. Desde un enfoque de derechos, la atención se desplaza de una supuesta insuficiencia personal hacia las barreras creadas por el entorno. Gráficas sin etiquetas y mensajes de error señalados solo en rojo ocultan información decisiva. El acceso significativo exige capacidad de elección y no solamente aceptación de las condiciones definidas por el proveedor. El diseño universal reduce la necesidad de adaptaciones posteriores y amplía opciones de percepción (CAST, 2024).</w:t>
      </w:r>
    </w:p>
    <w:p w14:paraId="29512828" w14:textId="77777777" w:rsidR="005575F8" w:rsidRPr="005575F8" w:rsidRDefault="005575F8" w:rsidP="005575F8">
      <w:pPr>
        <w:rPr>
          <w:lang w:val="es-MX"/>
        </w:rPr>
      </w:pPr>
      <w:r w:rsidRPr="005575F8">
        <w:rPr>
          <w:lang w:val="es-MX"/>
        </w:rPr>
        <w:t>La respuesta institucional debe comenzar por usar combinaciones verificadas, etiquetas redundantes, diseño adaptable y controles que respeten preferencias del usuario El criterio tiene que formar parte de la garantía de calidad y ser exigible a unidades internas y proveedores externos. El avance puede examinarse mediante contraste medido, ampliación sin pérdida, comprensión de gráficos y éxito en la corrección de errores Las guías de marca institucional deben incorporar accesibilidad para evitar excepciones en cada producto. La evidencia resultante debe orientar ajustes y comunicarse de forma comprensible a la comunidad.</w:t>
      </w:r>
    </w:p>
    <w:p w14:paraId="297E58BB" w14:textId="77777777" w:rsidR="005575F8" w:rsidRPr="005575F8" w:rsidRDefault="005575F8" w:rsidP="005575F8">
      <w:pPr>
        <w:rPr>
          <w:lang w:val="es-MX"/>
        </w:rPr>
      </w:pPr>
      <w:r w:rsidRPr="005575F8">
        <w:rPr>
          <w:lang w:val="es-MX"/>
        </w:rPr>
        <w:t xml:space="preserve">Alternativas para imágenes, audio y video. Los recursos no textuales necesitan equivalentes que comuniquen su función y su contenido relevante una fotografía decorativa requiere un tratamiento distinto de una micrografía, un mapa o una demostración clínica. La cuestión central consiste en saber si el diseño amplía opciones reales o si obliga a todos a ajustarse a un usuario idealizado. Los textos alternativos automáticos y subtítulos sin revisar pueden producir una apariencia de </w:t>
      </w:r>
      <w:r w:rsidRPr="005575F8">
        <w:rPr>
          <w:lang w:val="es-MX"/>
        </w:rPr>
        <w:lastRenderedPageBreak/>
        <w:t>cumplimiento mientras transmiten información falsa. Las ventajas prometidas necesitan compararse con los costos de participación, privacidad, aprendizaje y soporte que soportan distintos grupos. La automatización puede acelerar la accesibilidad, pero necesita control de calidad humano y conocimiento disciplinar (Miao &amp; Holmes, 2023).</w:t>
      </w:r>
    </w:p>
    <w:p w14:paraId="6F1EBB5F" w14:textId="77777777" w:rsidR="005575F8" w:rsidRPr="005575F8" w:rsidRDefault="005575F8" w:rsidP="005575F8">
      <w:pPr>
        <w:rPr>
          <w:lang w:val="es-MX"/>
        </w:rPr>
      </w:pPr>
      <w:r w:rsidRPr="005575F8">
        <w:rPr>
          <w:lang w:val="es-MX"/>
        </w:rPr>
        <w:t>La respuesta institucional se concreta al definir criterios según propósito, revisar materiales académicamente críticos y ofrecer transcripción, audiodescripción o descripción extensa cuando corresponda La puesta en práctica necesita reglas de escalamiento para que los problemas repetidos se conviertan en mejoras del sistema. El avance puede examinarse mediante exactitud de equivalentes, cobertura por tipo de recurso y comprensión en pruebas con usuarios El docente conserva responsabilidad editorial aunque utilice IA para preparar una primera versión. El seguimiento permite saber si el apoyo reduce la barrera o si simplemente desplaza el problema hacia otra etapa.</w:t>
      </w:r>
    </w:p>
    <w:p w14:paraId="0907299F" w14:textId="6AEC7899" w:rsidR="005575F8" w:rsidRPr="005575F8" w:rsidRDefault="005575F8" w:rsidP="005575F8">
      <w:pPr>
        <w:rPr>
          <w:lang w:val="es-MX"/>
        </w:rPr>
      </w:pPr>
      <w:r w:rsidRPr="005575F8">
        <w:rPr>
          <w:b/>
          <w:bCs/>
          <w:lang w:val="es-MX"/>
        </w:rPr>
        <w:t xml:space="preserve">Tabla </w:t>
      </w:r>
      <w:r w:rsidR="00FA6F60">
        <w:rPr>
          <w:b/>
          <w:bCs/>
          <w:lang w:val="es-MX"/>
        </w:rPr>
        <w:t>6</w:t>
      </w:r>
      <w:r w:rsidRPr="005575F8">
        <w:rPr>
          <w:b/>
          <w:bCs/>
          <w:lang w:val="es-MX"/>
        </w:rPr>
        <w:t>.3. Principios de accesibilidad digital y controles</w:t>
      </w:r>
    </w:p>
    <w:tbl>
      <w:tblPr>
        <w:tblStyle w:val="Tablanormal2"/>
        <w:tblW w:w="8392" w:type="dxa"/>
        <w:tblLook w:val="04A0" w:firstRow="1" w:lastRow="0" w:firstColumn="1" w:lastColumn="0" w:noHBand="0" w:noVBand="1"/>
      </w:tblPr>
      <w:tblGrid>
        <w:gridCol w:w="2098"/>
        <w:gridCol w:w="2098"/>
        <w:gridCol w:w="2098"/>
        <w:gridCol w:w="2098"/>
      </w:tblGrid>
      <w:tr w:rsidR="005575F8" w:rsidRPr="005575F8" w14:paraId="227A2B32" w14:textId="77777777" w:rsidTr="00164A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2D460D8" w14:textId="77777777" w:rsidR="005575F8" w:rsidRPr="00164AC5" w:rsidRDefault="005575F8" w:rsidP="007F601C">
            <w:pPr>
              <w:spacing w:before="0" w:after="0" w:line="240" w:lineRule="auto"/>
              <w:rPr>
                <w:sz w:val="20"/>
                <w:szCs w:val="20"/>
                <w:lang w:val="es-MX"/>
              </w:rPr>
            </w:pPr>
            <w:r w:rsidRPr="00164AC5">
              <w:rPr>
                <w:sz w:val="20"/>
                <w:szCs w:val="20"/>
                <w:lang w:val="es-MX"/>
              </w:rPr>
              <w:t>Principio</w:t>
            </w:r>
          </w:p>
        </w:tc>
        <w:tc>
          <w:tcPr>
            <w:tcW w:w="2098" w:type="dxa"/>
            <w:vAlign w:val="center"/>
            <w:hideMark/>
          </w:tcPr>
          <w:p w14:paraId="5894457D" w14:textId="77777777" w:rsidR="005575F8" w:rsidRPr="00164AC5" w:rsidRDefault="005575F8" w:rsidP="007F601C">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Pregunta de control</w:t>
            </w:r>
          </w:p>
        </w:tc>
        <w:tc>
          <w:tcPr>
            <w:tcW w:w="2098" w:type="dxa"/>
            <w:vAlign w:val="center"/>
            <w:hideMark/>
          </w:tcPr>
          <w:p w14:paraId="4B3AB289" w14:textId="77777777" w:rsidR="005575F8" w:rsidRPr="00164AC5" w:rsidRDefault="005575F8" w:rsidP="007F601C">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Ejemplo de control</w:t>
            </w:r>
          </w:p>
        </w:tc>
        <w:tc>
          <w:tcPr>
            <w:tcW w:w="2098" w:type="dxa"/>
            <w:vAlign w:val="center"/>
            <w:hideMark/>
          </w:tcPr>
          <w:p w14:paraId="25E021B7" w14:textId="77777777" w:rsidR="005575F8" w:rsidRPr="00164AC5" w:rsidRDefault="005575F8" w:rsidP="007F601C">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Evidencia</w:t>
            </w:r>
          </w:p>
        </w:tc>
      </w:tr>
      <w:tr w:rsidR="005575F8" w:rsidRPr="005575F8" w14:paraId="1518580C" w14:textId="77777777" w:rsidTr="00164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3D7DC1B" w14:textId="77777777" w:rsidR="005575F8" w:rsidRPr="00164AC5" w:rsidRDefault="005575F8" w:rsidP="007F601C">
            <w:pPr>
              <w:spacing w:before="0" w:after="0" w:line="240" w:lineRule="auto"/>
              <w:rPr>
                <w:sz w:val="20"/>
                <w:szCs w:val="20"/>
                <w:lang w:val="es-MX"/>
              </w:rPr>
            </w:pPr>
            <w:r w:rsidRPr="00164AC5">
              <w:rPr>
                <w:sz w:val="20"/>
                <w:szCs w:val="20"/>
                <w:lang w:val="es-MX"/>
              </w:rPr>
              <w:t>Perceptible</w:t>
            </w:r>
          </w:p>
        </w:tc>
        <w:tc>
          <w:tcPr>
            <w:tcW w:w="2098" w:type="dxa"/>
            <w:vAlign w:val="center"/>
            <w:hideMark/>
          </w:tcPr>
          <w:p w14:paraId="4B23C176"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¿La información tiene alternativas equivalentes?</w:t>
            </w:r>
          </w:p>
        </w:tc>
        <w:tc>
          <w:tcPr>
            <w:tcW w:w="2098" w:type="dxa"/>
            <w:vAlign w:val="center"/>
            <w:hideMark/>
          </w:tcPr>
          <w:p w14:paraId="35C1BAE9"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Texto alternativo, subtítulos y contraste</w:t>
            </w:r>
          </w:p>
        </w:tc>
        <w:tc>
          <w:tcPr>
            <w:tcW w:w="2098" w:type="dxa"/>
            <w:vAlign w:val="center"/>
            <w:hideMark/>
          </w:tcPr>
          <w:p w14:paraId="642C5DD3"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Pruebas con personas y herramientas</w:t>
            </w:r>
          </w:p>
        </w:tc>
      </w:tr>
      <w:tr w:rsidR="005575F8" w:rsidRPr="005575F8" w14:paraId="56C9C97E" w14:textId="77777777" w:rsidTr="00164AC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1F68984" w14:textId="77777777" w:rsidR="005575F8" w:rsidRPr="00164AC5" w:rsidRDefault="005575F8" w:rsidP="007F601C">
            <w:pPr>
              <w:spacing w:before="0" w:after="0" w:line="240" w:lineRule="auto"/>
              <w:rPr>
                <w:sz w:val="20"/>
                <w:szCs w:val="20"/>
                <w:lang w:val="es-MX"/>
              </w:rPr>
            </w:pPr>
            <w:r w:rsidRPr="00164AC5">
              <w:rPr>
                <w:sz w:val="20"/>
                <w:szCs w:val="20"/>
                <w:lang w:val="es-MX"/>
              </w:rPr>
              <w:t>Operable</w:t>
            </w:r>
          </w:p>
        </w:tc>
        <w:tc>
          <w:tcPr>
            <w:tcW w:w="2098" w:type="dxa"/>
            <w:vAlign w:val="center"/>
            <w:hideMark/>
          </w:tcPr>
          <w:p w14:paraId="4A067FE5"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¿Todas las funciones pueden usarse sin barreras?</w:t>
            </w:r>
          </w:p>
        </w:tc>
        <w:tc>
          <w:tcPr>
            <w:tcW w:w="2098" w:type="dxa"/>
            <w:vAlign w:val="center"/>
            <w:hideMark/>
          </w:tcPr>
          <w:p w14:paraId="76654017"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Teclado, foco visible y tiempo ajustable</w:t>
            </w:r>
          </w:p>
        </w:tc>
        <w:tc>
          <w:tcPr>
            <w:tcW w:w="2098" w:type="dxa"/>
            <w:vAlign w:val="center"/>
            <w:hideMark/>
          </w:tcPr>
          <w:p w14:paraId="2558B2A2"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Recorrido completo de tareas</w:t>
            </w:r>
          </w:p>
        </w:tc>
      </w:tr>
      <w:tr w:rsidR="005575F8" w:rsidRPr="005575F8" w14:paraId="15F0685E" w14:textId="77777777" w:rsidTr="00164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643BC0B" w14:textId="77777777" w:rsidR="005575F8" w:rsidRPr="00164AC5" w:rsidRDefault="005575F8" w:rsidP="007F601C">
            <w:pPr>
              <w:spacing w:before="0" w:after="0" w:line="240" w:lineRule="auto"/>
              <w:rPr>
                <w:sz w:val="20"/>
                <w:szCs w:val="20"/>
                <w:lang w:val="es-MX"/>
              </w:rPr>
            </w:pPr>
            <w:r w:rsidRPr="00164AC5">
              <w:rPr>
                <w:sz w:val="20"/>
                <w:szCs w:val="20"/>
                <w:lang w:val="es-MX"/>
              </w:rPr>
              <w:t>Comprensible</w:t>
            </w:r>
          </w:p>
        </w:tc>
        <w:tc>
          <w:tcPr>
            <w:tcW w:w="2098" w:type="dxa"/>
            <w:vAlign w:val="center"/>
            <w:hideMark/>
          </w:tcPr>
          <w:p w14:paraId="3F91C099"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¿El contenido y los errores son claros?</w:t>
            </w:r>
          </w:p>
        </w:tc>
        <w:tc>
          <w:tcPr>
            <w:tcW w:w="2098" w:type="dxa"/>
            <w:vAlign w:val="center"/>
            <w:hideMark/>
          </w:tcPr>
          <w:p w14:paraId="559675D0"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Lenguaje directo, etiquetas e instrucciones</w:t>
            </w:r>
          </w:p>
        </w:tc>
        <w:tc>
          <w:tcPr>
            <w:tcW w:w="2098" w:type="dxa"/>
            <w:vAlign w:val="center"/>
            <w:hideMark/>
          </w:tcPr>
          <w:p w14:paraId="08328A4D" w14:textId="77777777" w:rsidR="005575F8" w:rsidRPr="00164AC5"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64AC5">
              <w:rPr>
                <w:sz w:val="20"/>
                <w:szCs w:val="20"/>
                <w:lang w:val="es-MX"/>
              </w:rPr>
              <w:t>Pruebas de comprensión</w:t>
            </w:r>
          </w:p>
        </w:tc>
      </w:tr>
      <w:tr w:rsidR="005575F8" w:rsidRPr="005575F8" w14:paraId="6DAFE055" w14:textId="77777777" w:rsidTr="00164AC5">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2E0A10F" w14:textId="77777777" w:rsidR="005575F8" w:rsidRPr="00164AC5" w:rsidRDefault="005575F8" w:rsidP="007F601C">
            <w:pPr>
              <w:spacing w:before="0" w:after="0" w:line="240" w:lineRule="auto"/>
              <w:rPr>
                <w:sz w:val="20"/>
                <w:szCs w:val="20"/>
                <w:lang w:val="es-MX"/>
              </w:rPr>
            </w:pPr>
            <w:r w:rsidRPr="00164AC5">
              <w:rPr>
                <w:sz w:val="20"/>
                <w:szCs w:val="20"/>
                <w:lang w:val="es-MX"/>
              </w:rPr>
              <w:t>Robusto</w:t>
            </w:r>
          </w:p>
        </w:tc>
        <w:tc>
          <w:tcPr>
            <w:tcW w:w="2098" w:type="dxa"/>
            <w:vAlign w:val="center"/>
            <w:hideMark/>
          </w:tcPr>
          <w:p w14:paraId="3E8F9E28"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¿Funciona con tecnologías de apoyo?</w:t>
            </w:r>
          </w:p>
        </w:tc>
        <w:tc>
          <w:tcPr>
            <w:tcW w:w="2098" w:type="dxa"/>
            <w:vAlign w:val="center"/>
            <w:hideMark/>
          </w:tcPr>
          <w:p w14:paraId="26B338FA"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Semántica y estándares compatibles</w:t>
            </w:r>
          </w:p>
        </w:tc>
        <w:tc>
          <w:tcPr>
            <w:tcW w:w="2098" w:type="dxa"/>
            <w:vAlign w:val="center"/>
            <w:hideMark/>
          </w:tcPr>
          <w:p w14:paraId="449D9D7F" w14:textId="77777777" w:rsidR="005575F8" w:rsidRPr="00164AC5"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64AC5">
              <w:rPr>
                <w:sz w:val="20"/>
                <w:szCs w:val="20"/>
                <w:lang w:val="es-MX"/>
              </w:rPr>
              <w:t>Validación técnica interoperable</w:t>
            </w:r>
          </w:p>
        </w:tc>
      </w:tr>
    </w:tbl>
    <w:p w14:paraId="0F3E1CDC" w14:textId="77777777" w:rsidR="005575F8" w:rsidRPr="005575F8" w:rsidRDefault="005575F8" w:rsidP="005575F8">
      <w:pPr>
        <w:rPr>
          <w:lang w:val="es-MX"/>
        </w:rPr>
      </w:pPr>
      <w:r w:rsidRPr="005575F8">
        <w:rPr>
          <w:i/>
          <w:iCs/>
          <w:lang w:val="es-MX"/>
        </w:rPr>
        <w:t>Fuente: elaboración propia a partir de las referencias citadas en el apartado.</w:t>
      </w:r>
    </w:p>
    <w:p w14:paraId="5CE5E0B0" w14:textId="368B07D5" w:rsidR="005575F8" w:rsidRPr="005575F8" w:rsidRDefault="005575F8" w:rsidP="007F601C">
      <w:pPr>
        <w:pStyle w:val="Ttulo3"/>
        <w:rPr>
          <w:lang w:val="es-MX"/>
        </w:rPr>
      </w:pPr>
      <w:bookmarkStart w:id="138" w:name="_Toc239440995"/>
      <w:r w:rsidRPr="005575F8">
        <w:rPr>
          <w:lang w:val="es-MX"/>
        </w:rPr>
        <w:t>Documentos, matemáticas, ciencias y visualizaciones</w:t>
      </w:r>
      <w:bookmarkEnd w:id="138"/>
    </w:p>
    <w:p w14:paraId="79E9A5B0" w14:textId="77777777" w:rsidR="005575F8" w:rsidRPr="005575F8" w:rsidRDefault="005575F8" w:rsidP="005575F8">
      <w:pPr>
        <w:rPr>
          <w:lang w:val="es-MX"/>
        </w:rPr>
      </w:pPr>
      <w:r w:rsidRPr="005575F8">
        <w:rPr>
          <w:lang w:val="es-MX"/>
        </w:rPr>
        <w:t>Documentos académicos accesibles. Los archivos de texto, presentaciones y documentos portátiles forman parte central del entorno de aprendizaje sus títulos, orden de lectura, estilos, tablas, idioma y metadatos determinan si pueden navegarse y transformarse adecuadamente. La disponibilidad formal, por sí sola, no demuestra que el recurso pueda utilizarse de manera continua, autónoma y académicamente provechosa. Convertir una imagen escaneada en documento portátil sin reconocimiento ni etiquetas excluye a lectores de pantalla y dificulta la búsqueda. Las consecuencias deben analizarse durante todo el ciclo de vida, porque una actualización puede modificar costos, requisitos o accesibilidad. En Ecuador, las orientaciones públicas de accesibilidad remiten a estándares para contenidos web y promueven textos alternativos, subtítulos, navegación por teclado y documentos accesibles (Consejo Nacional para la Igualdad de Discapacidades, s. f.).</w:t>
      </w:r>
    </w:p>
    <w:p w14:paraId="13864468" w14:textId="77777777" w:rsidR="005575F8" w:rsidRPr="005575F8" w:rsidRDefault="005575F8" w:rsidP="005575F8">
      <w:pPr>
        <w:rPr>
          <w:lang w:val="es-MX"/>
        </w:rPr>
      </w:pPr>
      <w:r w:rsidRPr="005575F8">
        <w:rPr>
          <w:lang w:val="es-MX"/>
        </w:rPr>
        <w:lastRenderedPageBreak/>
        <w:t>La respuesta institucional consiste en proporcionar archivos fuente accesibles, aplicar reconocimiento con revisión y verificar el orden lógico después de convertir formatos La institución debe mantener canales alternativos y asegurar que elegirlos no implique menor validez, mayor costo ni demoras desproporcionadas. El avance puede examinarse mediante resultados de comprobadores, navegación por encabezados y exactitud de lectura en tecnologías de apoyo Bibliotecas, editoriales universitarias y profesorado necesitan flujos comunes y capacitación práctica. Así, la inclusión se convierte en un criterio previo de calidad y no en una reparación excepcional.</w:t>
      </w:r>
    </w:p>
    <w:p w14:paraId="20FAF9D0" w14:textId="77777777" w:rsidR="005575F8" w:rsidRPr="005575F8" w:rsidRDefault="005575F8" w:rsidP="005575F8">
      <w:pPr>
        <w:rPr>
          <w:lang w:val="es-MX"/>
        </w:rPr>
      </w:pPr>
      <w:r w:rsidRPr="005575F8">
        <w:rPr>
          <w:lang w:val="es-MX"/>
        </w:rPr>
        <w:t>Matemáticas, ciencias y visualización de datos. En educación superior, las fórmulas, diagramas y simulaciones requieren soluciones específicas para conservar relaciones y posibilidades de exploración una captura de pantalla de una ecuación no ofrece la misma navegación que una notación matemática estructurada. La equidad exige valorar el recorrido completo y no solo confirmar que existe una cuenta, una aplicación o un punto de conexión. Las descripciones demasiado generales pueden eliminar patrones, incertidumbre y escala, elementos centrales del razonamiento científico. Si esta desigualdad se atribuye al esfuerzo individual, la organización evita examinar las decisiones que producen o agravan la desventaja. La inclusión en educación superior exige atender las prácticas concretas de cada disciplina y no solo las interfaces generales (Seale, 2014).</w:t>
      </w:r>
    </w:p>
    <w:p w14:paraId="574E6499" w14:textId="77777777" w:rsidR="005575F8" w:rsidRPr="005575F8" w:rsidRDefault="005575F8" w:rsidP="005575F8">
      <w:pPr>
        <w:rPr>
          <w:lang w:val="es-MX"/>
        </w:rPr>
      </w:pPr>
      <w:r w:rsidRPr="005575F8">
        <w:rPr>
          <w:lang w:val="es-MX"/>
        </w:rPr>
        <w:t>La respuesta institucional requiere usar formatos semánticos, tablas de datos, descripciones jerárquicas y actividades equivalentes que mantengan el objetivo cognitivo El apoyo debe llegar en el momento en que la barrera aparece, puesto que una corrección posterior no siempre repara la pérdida de aprendizaje. El avance puede examinarse mediante interpretación correcta, compatibilidad con herramientas especializadas y equivalencia de resultados de aprendizaje Especialistas disciplinares y de accesibilidad deben trabajar juntos desde la creación del recurso. La revisión periódica protege la dignidad y distribuye institucionalmente la responsabilidad por los resultados.</w:t>
      </w:r>
    </w:p>
    <w:p w14:paraId="757618B8" w14:textId="536AD47D" w:rsidR="005575F8" w:rsidRPr="005575F8" w:rsidRDefault="005575F8" w:rsidP="007F601C">
      <w:pPr>
        <w:pStyle w:val="Ttulo3"/>
        <w:rPr>
          <w:lang w:val="es-MX"/>
        </w:rPr>
      </w:pPr>
      <w:bookmarkStart w:id="139" w:name="_Toc239440996"/>
      <w:r w:rsidRPr="005575F8">
        <w:rPr>
          <w:lang w:val="es-MX"/>
        </w:rPr>
        <w:t>Formularios, autenticación, evaluación y mejora continua</w:t>
      </w:r>
      <w:bookmarkEnd w:id="139"/>
    </w:p>
    <w:p w14:paraId="4E9F5490" w14:textId="77777777" w:rsidR="005575F8" w:rsidRPr="005575F8" w:rsidRDefault="005575F8" w:rsidP="005575F8">
      <w:pPr>
        <w:rPr>
          <w:lang w:val="es-MX"/>
        </w:rPr>
      </w:pPr>
      <w:r w:rsidRPr="005575F8">
        <w:rPr>
          <w:lang w:val="es-MX"/>
        </w:rPr>
        <w:t xml:space="preserve">Formularios, errores y autenticación. Los procesos de admisión, matrícula, pago y evaluación dependen de formularios digitales cada campo necesita etiqueta, instrucción, formato claro y mensajes que expliquen cómo corregir un problema. La evaluación responsable debe observar la calidad de la experiencia, además del número de usuarios registrados por el sistema. Pruebas visuales, códigos de corta duración y autenticación exclusivamente móvil pueden bloquear a personas con discapacidad o conectividad limitada. La responsabilidad corresponde a la institución que selecciona y organiza el recurso, no solo a la persona que intenta adaptarse a él. </w:t>
      </w:r>
      <w:r w:rsidRPr="005575F8">
        <w:rPr>
          <w:lang w:val="es-MX"/>
        </w:rPr>
        <w:lastRenderedPageBreak/>
        <w:t>El acceso a la educación depende también de que los servicios digitales institucionales sean utilizables sin discriminación (Naciones Unidas, 2006).</w:t>
      </w:r>
    </w:p>
    <w:p w14:paraId="517BECC2" w14:textId="77777777" w:rsidR="005575F8" w:rsidRPr="005575F8" w:rsidRDefault="005575F8" w:rsidP="005575F8">
      <w:pPr>
        <w:rPr>
          <w:lang w:val="es-MX"/>
        </w:rPr>
      </w:pPr>
      <w:r w:rsidRPr="005575F8">
        <w:rPr>
          <w:lang w:val="es-MX"/>
        </w:rPr>
        <w:t>La respuesta institucional debe comenzar por ofrecer métodos accesibles de verificación, conservar datos durante la corrección y permitir asistencia segura La comunidad afectada debe intervenir antes de cerrar requisitos y disponer de capacidad efectiva para proponer cambios. El avance puede examinarse mediante tasa de finalización, abandono por paso, errores repetidos y solicitudes de soporte Las áreas administrativas deben tratar estos recorridos con la misma prioridad que los entornos docentes. Los hallazgos deben vincularse con decisiones presupuestarias y no limitarse a un informe descriptivo.</w:t>
      </w:r>
    </w:p>
    <w:p w14:paraId="1A369D27" w14:textId="77777777" w:rsidR="005575F8" w:rsidRPr="005575F8" w:rsidRDefault="005575F8" w:rsidP="005575F8">
      <w:pPr>
        <w:rPr>
          <w:lang w:val="es-MX"/>
        </w:rPr>
      </w:pPr>
      <w:r w:rsidRPr="005575F8">
        <w:rPr>
          <w:lang w:val="es-MX"/>
        </w:rPr>
        <w:t>Evaluación y mejora continua. Las herramientas automáticas detectan parte de los problemas de accesibilidad, pero no pueden juzgar por completo claridad, sentido o experiencia de uso una auditoría rigurosa combina pruebas automáticas, revisión experta, navegación manual y participación de usuarios. La experiencia concreta revela diferencias que suelen desaparecer cuando la institución observa únicamente cifras agregadas. Confiar en una puntuación única favorece el cumplimiento superficial y oculta barreras en recorridos complejos. Una intervención apresurada corre el riesgo de digitalizar una exclusión previa y otorgarle una apariencia de eficiencia. Los marcos de gestión responsable recomiendan medir, gestionar y documentar riesgos durante todo el ciclo de vida (Tabassi, 2023).</w:t>
      </w:r>
    </w:p>
    <w:p w14:paraId="3C37B05E" w14:textId="77777777" w:rsidR="005575F8" w:rsidRPr="005575F8" w:rsidRDefault="005575F8" w:rsidP="005575F8">
      <w:pPr>
        <w:rPr>
          <w:lang w:val="es-MX"/>
        </w:rPr>
      </w:pPr>
      <w:r w:rsidRPr="005575F8">
        <w:rPr>
          <w:lang w:val="es-MX"/>
        </w:rPr>
        <w:t>La respuesta institucional se concreta al establecer ciclos de evaluación basados en riesgo, priorizar funciones esenciales y verificar cada corrección antes de cerrarla La información sobre el servicio debe presentarse en lenguaje claro y explicar tanto sus posibilidades como las condiciones en las que puede fallar. El avance puede examinarse mediante cobertura de métodos, severidad de hallazgos, reincidencia y tiempo hasta la solución Los informes deben alimentar formación, contratación y rediseño, no permanecer aislados en el área técnica. La transparencia sobre avances y pendientes favorece confianza, aprendizaje organizacional y rendición de cuentas.</w:t>
      </w:r>
    </w:p>
    <w:p w14:paraId="3F75DFC3" w14:textId="3AE68065" w:rsidR="005575F8" w:rsidRPr="005575F8" w:rsidRDefault="005575F8" w:rsidP="007F601C">
      <w:pPr>
        <w:pStyle w:val="Ttulo2"/>
        <w:rPr>
          <w:lang w:val="es-MX"/>
        </w:rPr>
      </w:pPr>
      <w:bookmarkStart w:id="140" w:name="_Toc239440997"/>
      <w:r w:rsidRPr="005575F8">
        <w:rPr>
          <w:lang w:val="es-MX"/>
        </w:rPr>
        <w:t>Desigualdades y exclusión tecnológica</w:t>
      </w:r>
      <w:bookmarkEnd w:id="140"/>
    </w:p>
    <w:p w14:paraId="28161EF9" w14:textId="182B969F" w:rsidR="005575F8" w:rsidRPr="005575F8" w:rsidRDefault="005575F8" w:rsidP="007F601C">
      <w:pPr>
        <w:pStyle w:val="Ttulo3"/>
        <w:rPr>
          <w:lang w:val="es-MX"/>
        </w:rPr>
      </w:pPr>
      <w:bookmarkStart w:id="141" w:name="_Toc239440998"/>
      <w:r w:rsidRPr="005575F8">
        <w:rPr>
          <w:lang w:val="es-MX"/>
        </w:rPr>
        <w:t>Niveles de brecha e intersección de desigualdades</w:t>
      </w:r>
      <w:bookmarkEnd w:id="141"/>
    </w:p>
    <w:p w14:paraId="73AEF5D8" w14:textId="77777777" w:rsidR="005575F8" w:rsidRPr="005575F8" w:rsidRDefault="005575F8" w:rsidP="005575F8">
      <w:pPr>
        <w:rPr>
          <w:lang w:val="es-MX"/>
        </w:rPr>
      </w:pPr>
      <w:r w:rsidRPr="005575F8">
        <w:rPr>
          <w:lang w:val="es-MX"/>
        </w:rPr>
        <w:t xml:space="preserve">Tres niveles de brecha digital. La desigualdad digital incluye acceso material, diferencias de habilidades y desigualdad en los beneficios obtenidos dos estudiantes conectados pueden recibir resultados muy distintos si uno dispone de tiempo, apoyo, privacidad y experiencia para utilizar la tecnología estratégicamente. La disponibilidad formal, por sí sola, no demuestra que el recurso pueda utilizarse de manera continua, autónoma y académicamente provechosa. Medir solo cuentas activas o dispositivos entregados confunde presencia con participación y aprendizaje. Los promedios institucionales pueden ocultar diferencias sistemáticas entre territorios, grupos y </w:t>
      </w:r>
      <w:r w:rsidRPr="005575F8">
        <w:rPr>
          <w:lang w:val="es-MX"/>
        </w:rPr>
        <w:lastRenderedPageBreak/>
        <w:t>modalidades de estudio. La teoría de la brecha digital muestra que las desigualdades se desplazan desde el acceso hacia usos y resultados (van Dijk, 2020; Helsper, 2021).</w:t>
      </w:r>
    </w:p>
    <w:p w14:paraId="1A1A52F0" w14:textId="77777777" w:rsidR="005575F8" w:rsidRPr="005575F8" w:rsidRDefault="005575F8" w:rsidP="005575F8">
      <w:pPr>
        <w:rPr>
          <w:lang w:val="es-MX"/>
        </w:rPr>
      </w:pPr>
      <w:r w:rsidRPr="005575F8">
        <w:rPr>
          <w:lang w:val="es-MX"/>
        </w:rPr>
        <w:t>La respuesta institucional consiste en construir indicadores que relacionen recursos, prácticas y resultados, sin atribuir causalidad automática Su aplicación requiere coordinar docencia, tecnología, bienestar, bibliotecas y gestión, pues ninguna unidad controla por sí sola toda la experiencia. El avance puede examinarse mediante calidad de uso, autonomía, logros, bienestar y oportunidades posteriores, desagregados con prudencia La investigación institucional debe combinar métodos cuantitativos y cualitativos para comprender trayectorias. Los hallazgos deben vincularse con decisiones presupuestarias y no limitarse a un informe descriptivo.</w:t>
      </w:r>
    </w:p>
    <w:p w14:paraId="7EEC7137" w14:textId="77777777" w:rsidR="005575F8" w:rsidRPr="005575F8" w:rsidRDefault="005575F8" w:rsidP="005575F8">
      <w:pPr>
        <w:rPr>
          <w:lang w:val="es-MX"/>
        </w:rPr>
      </w:pPr>
      <w:r w:rsidRPr="005575F8">
        <w:rPr>
          <w:lang w:val="es-MX"/>
        </w:rPr>
        <w:t>Intersección de desigualdades. En educación superior, las barreras se acumulan cuando territorio, ingreso, género, pertenencia étnica, discapacidad y cuidado se cruzan una categoría aislada puede ocultar experiencias de personas situadas simultáneamente en varios márgenes. La equidad exige valorar el recorrido completo y no solo confirmar que existe una cuenta, una aplicación o un punto de conexión. Los modelos diseñados con promedios mayoritarios suelen rendir peor en grupos pequeños y producen una falsa apariencia de neutralidad. El objetivo educativo debe mantenerse visible para impedir que las exigencias de la herramienta sustituyan los resultados de aprendizaje. Los estudios críticos advierten que las desigualdades pueden entrar por datos, objetivos, sistemas de búsqueda y contextos de aplicación (Baker &amp; Hawn, 2022; Noble, 2018).</w:t>
      </w:r>
    </w:p>
    <w:p w14:paraId="4FC03561" w14:textId="77777777" w:rsidR="005575F8" w:rsidRDefault="005575F8" w:rsidP="005575F8">
      <w:pPr>
        <w:rPr>
          <w:lang w:val="es-MX"/>
        </w:rPr>
      </w:pPr>
      <w:r w:rsidRPr="005575F8">
        <w:rPr>
          <w:lang w:val="es-MX"/>
        </w:rPr>
        <w:t>La respuesta institucional requiere analizar impactos interseccionales, ampliar la representación y permitir que las comunidades definan qué resultados consideran dañinos La acción debe incorporarse a la planificación ordinaria, con presupuesto, responsables, plazos y una vía accesible para comunicar dificultades. El avance puede examinarse mediante errores y beneficios por combinaciones pertinentes, con umbrales que protejan la privacidad Los comités de equidad y datos deben revisar tanto cifras como experiencias narradas. La transparencia sobre avances y pendientes favorece confianza, aprendizaje organizacional y rendición de cuentas.</w:t>
      </w:r>
    </w:p>
    <w:p w14:paraId="65A75E0B" w14:textId="4464BC24" w:rsidR="009F4955" w:rsidRPr="005575F8" w:rsidRDefault="00923414" w:rsidP="005575F8">
      <w:pPr>
        <w:rPr>
          <w:lang w:val="es-MX"/>
        </w:rPr>
      </w:pPr>
      <w:r>
        <w:rPr>
          <w:noProof/>
          <w:lang w:val="es-MX"/>
        </w:rPr>
        <w:lastRenderedPageBreak/>
        <w:drawing>
          <wp:inline distT="0" distB="0" distL="0" distR="0" wp14:anchorId="3F0FBD97" wp14:editId="67928538">
            <wp:extent cx="5400675" cy="3600450"/>
            <wp:effectExtent l="0" t="0" r="9525" b="0"/>
            <wp:docPr id="171538878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1BCCA162" w14:textId="386E9753" w:rsidR="005575F8" w:rsidRPr="005575F8" w:rsidRDefault="005575F8" w:rsidP="007F601C">
      <w:pPr>
        <w:pStyle w:val="Ttulo3"/>
        <w:rPr>
          <w:lang w:val="es-MX"/>
        </w:rPr>
      </w:pPr>
      <w:bookmarkStart w:id="142" w:name="_Toc239440999"/>
      <w:r w:rsidRPr="005575F8">
        <w:rPr>
          <w:lang w:val="es-MX"/>
        </w:rPr>
        <w:t>Pobreza de datos y retroalimentación de la desventaja</w:t>
      </w:r>
      <w:bookmarkEnd w:id="142"/>
    </w:p>
    <w:p w14:paraId="1457E999" w14:textId="77777777" w:rsidR="005575F8" w:rsidRPr="005575F8" w:rsidRDefault="005575F8" w:rsidP="005575F8">
      <w:pPr>
        <w:rPr>
          <w:lang w:val="es-MX"/>
        </w:rPr>
      </w:pPr>
      <w:r w:rsidRPr="005575F8">
        <w:rPr>
          <w:lang w:val="es-MX"/>
        </w:rPr>
        <w:t>Pobreza de datos e invisibilidad. Algunas personas generan pocos rastros digitales porque se conectan de forma intermitente, comparten dispositivos o utilizan canales externos la ausencia de datos puede interpretarse erróneamente como falta de participación o necesidad. La evaluación responsable debe observar la calidad de la experiencia, además del número de usuarios registrados por el sistema. Los sistemas predictivos benefician a perfiles bien representados y dejan fuera a quienes no encajan en sus categorías. El acceso significativo exige capacidad de elección y no solamente aceptación de las condiciones definidas por el proveedor. Los datos no son una representación neutral del mundo, sino el resultado de decisiones sobre qué contar y qué ignorar (</w:t>
      </w:r>
      <w:proofErr w:type="spellStart"/>
      <w:r w:rsidRPr="005575F8">
        <w:rPr>
          <w:lang w:val="es-MX"/>
        </w:rPr>
        <w:t>D'Ignazio</w:t>
      </w:r>
      <w:proofErr w:type="spellEnd"/>
      <w:r w:rsidRPr="005575F8">
        <w:rPr>
          <w:lang w:val="es-MX"/>
        </w:rPr>
        <w:t xml:space="preserve"> &amp; Klein, 2020).</w:t>
      </w:r>
    </w:p>
    <w:p w14:paraId="0BA94084" w14:textId="77777777" w:rsidR="005575F8" w:rsidRPr="005575F8" w:rsidRDefault="005575F8" w:rsidP="005575F8">
      <w:pPr>
        <w:rPr>
          <w:lang w:val="es-MX"/>
        </w:rPr>
      </w:pPr>
      <w:r w:rsidRPr="005575F8">
        <w:rPr>
          <w:lang w:val="es-MX"/>
        </w:rPr>
        <w:t>La respuesta institucional debe comenzar por identificar datos ausentes, documentar límites de cobertura y mantener vías humanas para aportar contexto o impugnar inferencias El criterio tiene que formar parte de la garantía de calidad y ser exigible a unidades internas y proveedores externos. El avance puede examinarse mediante proporción de registros incompletos, incertidumbre del modelo y resultados de las revisiones Analistas y responsables académicos deben comunicar cuándo una recomendación carece de base suficiente. Una mejora demostrable combina desempeño técnico, experiencia de usuario y efectos educativos.</w:t>
      </w:r>
    </w:p>
    <w:p w14:paraId="771CC8B0" w14:textId="77777777" w:rsidR="005575F8" w:rsidRPr="005575F8" w:rsidRDefault="005575F8" w:rsidP="005575F8">
      <w:pPr>
        <w:rPr>
          <w:lang w:val="es-MX"/>
        </w:rPr>
      </w:pPr>
      <w:r w:rsidRPr="005575F8">
        <w:rPr>
          <w:lang w:val="es-MX"/>
        </w:rPr>
        <w:t xml:space="preserve">Retroalimentación algorítmica de la desventaja. Un sistema puede utilizar resultados pasados para asignar apoyos, oportunidades o niveles de riesgo si la historia refleja escuelas desiguales, discriminación o acceso dispar, la predicción puede consolidar esos patrones. La experiencia </w:t>
      </w:r>
      <w:r w:rsidRPr="005575F8">
        <w:rPr>
          <w:lang w:val="es-MX"/>
        </w:rPr>
        <w:lastRenderedPageBreak/>
        <w:t>concreta revela diferencias que suelen desaparecer cuando la institución observa únicamente cifras agregadas. Etiquetar tempranamente a un estudiante modifica expectativas docentes y puede desencadenar intervenciones que confirman la clasificación. Las ventajas prometidas necesitan compararse con los costos de participación, privacidad, aprendizaje y soporte que soportan distintos grupos. Los sistemas automatizados pueden reproducir desigualdad cuando convierten patrones históricos en decisiones presentes (Eubanks, 2018; O'Neil, 2016).</w:t>
      </w:r>
    </w:p>
    <w:p w14:paraId="264C05BE" w14:textId="77777777" w:rsidR="005575F8" w:rsidRPr="005575F8" w:rsidRDefault="005575F8" w:rsidP="005575F8">
      <w:pPr>
        <w:rPr>
          <w:lang w:val="es-MX"/>
        </w:rPr>
      </w:pPr>
      <w:r w:rsidRPr="005575F8">
        <w:rPr>
          <w:lang w:val="es-MX"/>
        </w:rPr>
        <w:t>La respuesta institucional se concreta al evaluar variables sustitutivas, comparar errores, limitar usos de alto impacto y exigir revisión humana significativa La puesta en práctica necesita reglas de escalamiento para que los problemas repetidos se conviertan en mejoras del sistema. El avance puede examinarse mediante falsos positivos, falsos negativos, cambios de decisión tras revisión y efectos a mediano plazo La supervisión debe contar con autoridad, información y tiempo para apartarse de la recomendación. Este procedimiento permite abandonar soluciones ineficaces antes de que su uso se vuelva una obligación informal.</w:t>
      </w:r>
    </w:p>
    <w:p w14:paraId="4D8522F6" w14:textId="755F8A80" w:rsidR="005575F8" w:rsidRPr="005575F8" w:rsidRDefault="005575F8" w:rsidP="007F601C">
      <w:pPr>
        <w:pStyle w:val="Ttulo3"/>
        <w:rPr>
          <w:lang w:val="es-MX"/>
        </w:rPr>
      </w:pPr>
      <w:bookmarkStart w:id="143" w:name="_Toc239441000"/>
      <w:r w:rsidRPr="005575F8">
        <w:rPr>
          <w:lang w:val="es-MX"/>
        </w:rPr>
        <w:t>Exclusión por canales digitales, vigilancia y costos ocultos</w:t>
      </w:r>
      <w:bookmarkEnd w:id="143"/>
    </w:p>
    <w:p w14:paraId="079B2883" w14:textId="77777777" w:rsidR="005575F8" w:rsidRPr="005575F8" w:rsidRDefault="005575F8" w:rsidP="005575F8">
      <w:pPr>
        <w:rPr>
          <w:lang w:val="es-MX"/>
        </w:rPr>
      </w:pPr>
      <w:r w:rsidRPr="005575F8">
        <w:rPr>
          <w:lang w:val="es-MX"/>
        </w:rPr>
        <w:t>Canales exclusivamente digitales. La digitalización de trámites puede reducir tiempos y ampliar horarios, pero también eliminar formas de asistencia esenciales personas con baja alfabetización, barreras lingüísticas o situaciones documentales complejas necesitan explicar circunstancias que un formulario no anticipa. Las barreras pueden ser permanentes, temporales o situacionales, y con frecuencia se acumulan durante una misma trayectoria académica. Cerrar ventanillas y teléfonos obliga a depender de intermediarios, aumenta errores y puede impedir el ejercicio de derechos. Las consecuencias deben analizarse durante todo el ciclo de vida, porque una actualización puede modificar costos, requisitos o accesibilidad. La inclusión tecnológica exige transformar instituciones y no simplemente trasladar procedimientos existentes a una pantalla (Warschauer, 2004).</w:t>
      </w:r>
    </w:p>
    <w:p w14:paraId="666DE7B4" w14:textId="77777777" w:rsidR="005575F8" w:rsidRPr="005575F8" w:rsidRDefault="005575F8" w:rsidP="005575F8">
      <w:pPr>
        <w:rPr>
          <w:lang w:val="es-MX"/>
        </w:rPr>
      </w:pPr>
      <w:r w:rsidRPr="005575F8">
        <w:rPr>
          <w:lang w:val="es-MX"/>
        </w:rPr>
        <w:t xml:space="preserve">La respuesta institucional consiste en mantener canales presenciales y humanos coordinados, con igual validez y sin costos punitivos La institución debe mantener canales alternativos y asegurar que elegirlos no implique menor validez, mayor costo ni demoras desproporcionadas. El avance puede examinarse mediante resolución en primer contacto, abandono por canal y accesibilidad de las alternativas Las áreas de servicio deben diseñar experiencias </w:t>
      </w:r>
      <w:proofErr w:type="spellStart"/>
      <w:r w:rsidRPr="005575F8">
        <w:rPr>
          <w:lang w:val="es-MX"/>
        </w:rPr>
        <w:t>omnicanal</w:t>
      </w:r>
      <w:proofErr w:type="spellEnd"/>
      <w:r w:rsidRPr="005575F8">
        <w:rPr>
          <w:lang w:val="es-MX"/>
        </w:rPr>
        <w:t xml:space="preserve"> y aprender de los casos que no encajan en el flujo estándar. La meta es ampliar capacidades y opciones reales, no alcanzar una cifra de adopción desvinculada del aprendizaje.</w:t>
      </w:r>
    </w:p>
    <w:p w14:paraId="215ED47C" w14:textId="77777777" w:rsidR="005575F8" w:rsidRPr="005575F8" w:rsidRDefault="005575F8" w:rsidP="005575F8">
      <w:pPr>
        <w:rPr>
          <w:lang w:val="es-MX"/>
        </w:rPr>
      </w:pPr>
      <w:r w:rsidRPr="005575F8">
        <w:rPr>
          <w:lang w:val="es-MX"/>
        </w:rPr>
        <w:t xml:space="preserve">Vigilancia y costos ocultos. En educación superior, los servicios gratuitos pueden financiarse mediante extracción de datos, publicidad o incorporación futura de funciones pagadas los estudiantes con menos recursos poseen menor capacidad para elegir proveedores protectores o rechazar condiciones invasivas. El análisis debe considerar quién accede, desde qué entorno, con </w:t>
      </w:r>
      <w:r w:rsidRPr="005575F8">
        <w:rPr>
          <w:lang w:val="es-MX"/>
        </w:rPr>
        <w:lastRenderedPageBreak/>
        <w:t>cuánto tiempo, a qué costo y con qué posibilidades de solicitar ayuda. La obligación de entregar datos personales se convierte así en un precio desigual por participar. Si esta desigualdad se atribuye al esfuerzo individual, la organización evita examinar las decisiones que producen o agravan la desventaja. La justicia digital incluye examinar las relaciones de poder, los costos materiales y la economía política que sostienen la infraestructura (Crawford, 2021; Selwyn, 2016; UNESCO, 2021).</w:t>
      </w:r>
    </w:p>
    <w:p w14:paraId="4E0A68B2" w14:textId="77777777" w:rsidR="005575F8" w:rsidRPr="005575F8" w:rsidRDefault="005575F8" w:rsidP="005575F8">
      <w:pPr>
        <w:rPr>
          <w:lang w:val="es-MX"/>
        </w:rPr>
      </w:pPr>
      <w:r w:rsidRPr="005575F8">
        <w:rPr>
          <w:lang w:val="es-MX"/>
        </w:rPr>
        <w:t>La respuesta institucional requiere evaluar modelos de negocio, prohibir usos secundarios incompatibles y asumir institucionalmente los costos de herramientas obligatorias El apoyo debe llegar en el momento en que la barrera aparece, puesto que una corrección posterior no siempre repara la pérdida de aprendizaje. El avance puede examinarse mediante datos transferidos, rastreadores presentes, cambios contractuales y disponibilidad de alternativas Protección de datos y compras deben revisar proveedores antes de que el uso docente los normalice. La comparación entre grupos debe proteger la privacidad y evitar categorías que reproduzcan estigmas.</w:t>
      </w:r>
    </w:p>
    <w:p w14:paraId="005F51BB" w14:textId="0B3A7FC2" w:rsidR="005575F8" w:rsidRPr="005575F8" w:rsidRDefault="005575F8" w:rsidP="007F601C">
      <w:pPr>
        <w:pStyle w:val="Ttulo3"/>
        <w:rPr>
          <w:lang w:val="es-MX"/>
        </w:rPr>
      </w:pPr>
      <w:bookmarkStart w:id="144" w:name="_Toc239441001"/>
      <w:r w:rsidRPr="005575F8">
        <w:rPr>
          <w:lang w:val="es-MX"/>
        </w:rPr>
        <w:t>Alfabetización crítica y universalismo focalizado</w:t>
      </w:r>
      <w:bookmarkEnd w:id="144"/>
    </w:p>
    <w:p w14:paraId="63CF16F9" w14:textId="77777777" w:rsidR="005575F8" w:rsidRPr="005575F8" w:rsidRDefault="005575F8" w:rsidP="005575F8">
      <w:pPr>
        <w:rPr>
          <w:lang w:val="es-MX"/>
        </w:rPr>
      </w:pPr>
      <w:r w:rsidRPr="005575F8">
        <w:rPr>
          <w:lang w:val="es-MX"/>
        </w:rPr>
        <w:t>Alfabetización crítica en IA. Saber utilizar una aplicación no equivale a comprender sus límites, intereses y consecuencias la capacidad de formular preguntas, contrastar fuentes y reconocer incertidumbre se distribuye de manera desigual. En este ámbito, las condiciones materiales y las decisiones pedagógicas se refuerzan mutuamente y determinan la participación posible. Quienes reciben formación informal de mayor calidad pueden aprovechar la IA para ampliar oportunidades, mientras otros aceptan resultados erróneos o evitan la herramienta por temor. La responsabilidad corresponde a la institución que selecciona y organiza el recurso, no solo a la persona que intenta adaptarse a él. Los marcos de competencias proponen una formación centrada en agencia humana, ética, técnicas y diseño responsable (Miao &amp; Cukurova, 2024; Miao et al., 2024).</w:t>
      </w:r>
    </w:p>
    <w:p w14:paraId="1AB13676" w14:textId="77777777" w:rsidR="005575F8" w:rsidRPr="005575F8" w:rsidRDefault="005575F8" w:rsidP="005575F8">
      <w:pPr>
        <w:rPr>
          <w:lang w:val="es-MX"/>
        </w:rPr>
      </w:pPr>
      <w:r w:rsidRPr="005575F8">
        <w:rPr>
          <w:lang w:val="es-MX"/>
        </w:rPr>
        <w:t>La respuesta institucional debe comenzar por integrar alfabetización de IA en el currículo y ofrecer apoyos diferenciados sin estigmatizar La comunidad afectada debe intervenir antes de cerrar requisitos y disponer de capacidad efectiva para proponer cambios. El avance puede examinarse mediante calidad de verificación, comprensión de datos, confianza calibrada y transferencia entre contextos Docentes y bibliotecas deben presentar casos relacionados con cada disciplina y con decisiones cotidianas. Los resultados adquieren sentido cuando se interpretan junto con las personas que viven las barreras.</w:t>
      </w:r>
    </w:p>
    <w:p w14:paraId="1B83133A" w14:textId="77777777" w:rsidR="005575F8" w:rsidRPr="005575F8" w:rsidRDefault="005575F8" w:rsidP="005575F8">
      <w:pPr>
        <w:rPr>
          <w:lang w:val="es-MX"/>
        </w:rPr>
      </w:pPr>
      <w:r w:rsidRPr="005575F8">
        <w:rPr>
          <w:lang w:val="es-MX"/>
        </w:rPr>
        <w:t xml:space="preserve">Universalismo focalizado. La igualdad formal ofrece lo mismo a todas las personas, mientras la equidad ajusta medios para alcanzar una participación comparable una base universal de accesibilidad debe complementarse con recursos proporcionales a barreras y circunstancias específicas. El contexto convierte una misma función en apoyo para unas personas y en obstáculo </w:t>
      </w:r>
      <w:r w:rsidRPr="005575F8">
        <w:rPr>
          <w:lang w:val="es-MX"/>
        </w:rPr>
        <w:lastRenderedPageBreak/>
        <w:t>para otras, por lo que las conclusiones generales necesitan contraste local. Los programas exclusivamente focalizados pueden estigmatizar, exigir trámites difíciles y dejar fuera a quienes no poseen documentación. Una intervención apresurada corre el riesgo de digitalizar una exclusión previa y otorgarle una apariencia de eficiencia. El enfoque inclusivo busca transformar sistemas para que todas las personas aprendan juntas y reciban apoyos pertinentes (UNESCO, 2020).</w:t>
      </w:r>
    </w:p>
    <w:p w14:paraId="0E85610E" w14:textId="77777777" w:rsidR="005575F8" w:rsidRPr="005575F8" w:rsidRDefault="005575F8" w:rsidP="005575F8">
      <w:pPr>
        <w:rPr>
          <w:lang w:val="es-MX"/>
        </w:rPr>
      </w:pPr>
      <w:r w:rsidRPr="005575F8">
        <w:rPr>
          <w:lang w:val="es-MX"/>
        </w:rPr>
        <w:t>La respuesta institucional se concreta al garantizar servicios accesibles para toda la comunidad y añadir apoyos flexibles activados con procedimientos sencillos La información sobre el servicio debe presentarse en lenguaje claro y explicar tanto sus posibilidades como las condiciones en las que puede fallar. El avance puede examinarse mediante cobertura universal, utilización de apoyos, necesidades no atendidas y percepción de estigma Bienestar, inclusión y facultades deben compartir criterios y evitar rutas fragmentadas. La mejora continua requiere conservar memoria de los problemas y verificar que no reaparezcan en versiones posteriores.</w:t>
      </w:r>
    </w:p>
    <w:p w14:paraId="2DE9066B" w14:textId="50F32433" w:rsidR="005575F8" w:rsidRPr="005575F8" w:rsidRDefault="005575F8" w:rsidP="005575F8">
      <w:pPr>
        <w:rPr>
          <w:lang w:val="es-MX"/>
        </w:rPr>
      </w:pPr>
      <w:r w:rsidRPr="005575F8">
        <w:rPr>
          <w:b/>
          <w:bCs/>
          <w:lang w:val="es-MX"/>
        </w:rPr>
        <w:t xml:space="preserve">Tabla </w:t>
      </w:r>
      <w:r w:rsidR="00FA6F60">
        <w:rPr>
          <w:b/>
          <w:bCs/>
          <w:lang w:val="es-MX"/>
        </w:rPr>
        <w:t>6</w:t>
      </w:r>
      <w:r w:rsidRPr="005575F8">
        <w:rPr>
          <w:b/>
          <w:bCs/>
          <w:lang w:val="es-MX"/>
        </w:rPr>
        <w:t>.4. Niveles de brecha digital y respuestas de equidad</w:t>
      </w:r>
    </w:p>
    <w:tbl>
      <w:tblPr>
        <w:tblStyle w:val="Tablanormal2"/>
        <w:tblW w:w="8392" w:type="dxa"/>
        <w:tblLook w:val="04A0" w:firstRow="1" w:lastRow="0" w:firstColumn="1" w:lastColumn="0" w:noHBand="0" w:noVBand="1"/>
      </w:tblPr>
      <w:tblGrid>
        <w:gridCol w:w="2098"/>
        <w:gridCol w:w="2098"/>
        <w:gridCol w:w="2098"/>
        <w:gridCol w:w="2098"/>
      </w:tblGrid>
      <w:tr w:rsidR="005575F8" w:rsidRPr="005575F8" w14:paraId="3038953F" w14:textId="77777777" w:rsidTr="007F60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FA7F06A" w14:textId="77777777" w:rsidR="005575F8" w:rsidRPr="007F601C" w:rsidRDefault="005575F8" w:rsidP="007F601C">
            <w:pPr>
              <w:spacing w:before="0" w:after="0" w:line="240" w:lineRule="auto"/>
              <w:jc w:val="center"/>
              <w:rPr>
                <w:sz w:val="20"/>
                <w:szCs w:val="20"/>
                <w:lang w:val="es-MX"/>
              </w:rPr>
            </w:pPr>
            <w:r w:rsidRPr="007F601C">
              <w:rPr>
                <w:sz w:val="20"/>
                <w:szCs w:val="20"/>
                <w:lang w:val="es-MX"/>
              </w:rPr>
              <w:t>Nivel</w:t>
            </w:r>
          </w:p>
        </w:tc>
        <w:tc>
          <w:tcPr>
            <w:tcW w:w="2098" w:type="dxa"/>
            <w:vAlign w:val="center"/>
            <w:hideMark/>
          </w:tcPr>
          <w:p w14:paraId="48BEFF87" w14:textId="77777777" w:rsidR="005575F8" w:rsidRPr="007F601C" w:rsidRDefault="005575F8" w:rsidP="007F601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Manifestación</w:t>
            </w:r>
          </w:p>
        </w:tc>
        <w:tc>
          <w:tcPr>
            <w:tcW w:w="2098" w:type="dxa"/>
            <w:vAlign w:val="center"/>
            <w:hideMark/>
          </w:tcPr>
          <w:p w14:paraId="625DC2E5" w14:textId="77777777" w:rsidR="005575F8" w:rsidRPr="007F601C" w:rsidRDefault="005575F8" w:rsidP="007F601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Indicador</w:t>
            </w:r>
          </w:p>
        </w:tc>
        <w:tc>
          <w:tcPr>
            <w:tcW w:w="2098" w:type="dxa"/>
            <w:vAlign w:val="center"/>
            <w:hideMark/>
          </w:tcPr>
          <w:p w14:paraId="420AB7C3" w14:textId="77777777" w:rsidR="005575F8" w:rsidRPr="007F601C" w:rsidRDefault="005575F8" w:rsidP="007F601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Respuesta</w:t>
            </w:r>
          </w:p>
        </w:tc>
      </w:tr>
      <w:tr w:rsidR="005575F8" w:rsidRPr="005575F8" w14:paraId="145F4CA5" w14:textId="77777777" w:rsidTr="007F6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5C270D3" w14:textId="77777777" w:rsidR="005575F8" w:rsidRPr="007F601C" w:rsidRDefault="005575F8" w:rsidP="007F601C">
            <w:pPr>
              <w:spacing w:before="0" w:after="0" w:line="240" w:lineRule="auto"/>
              <w:rPr>
                <w:sz w:val="20"/>
                <w:szCs w:val="20"/>
                <w:lang w:val="es-MX"/>
              </w:rPr>
            </w:pPr>
            <w:r w:rsidRPr="007F601C">
              <w:rPr>
                <w:sz w:val="20"/>
                <w:szCs w:val="20"/>
                <w:lang w:val="es-MX"/>
              </w:rPr>
              <w:t>Acceso</w:t>
            </w:r>
          </w:p>
        </w:tc>
        <w:tc>
          <w:tcPr>
            <w:tcW w:w="2098" w:type="dxa"/>
            <w:vAlign w:val="center"/>
            <w:hideMark/>
          </w:tcPr>
          <w:p w14:paraId="0F6F0774"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Falta de conexión, dispositivo o plataforma</w:t>
            </w:r>
          </w:p>
        </w:tc>
        <w:tc>
          <w:tcPr>
            <w:tcW w:w="2098" w:type="dxa"/>
            <w:vAlign w:val="center"/>
            <w:hideMark/>
          </w:tcPr>
          <w:p w14:paraId="317D947B"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Disponibilidad, costo y continuidad</w:t>
            </w:r>
          </w:p>
        </w:tc>
        <w:tc>
          <w:tcPr>
            <w:tcW w:w="2098" w:type="dxa"/>
            <w:vAlign w:val="center"/>
            <w:hideMark/>
          </w:tcPr>
          <w:p w14:paraId="39B5F406"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Garantía material y canales alternativos</w:t>
            </w:r>
          </w:p>
        </w:tc>
      </w:tr>
      <w:tr w:rsidR="005575F8" w:rsidRPr="005575F8" w14:paraId="4AE3AED3" w14:textId="77777777" w:rsidTr="007F601C">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70C0DD7" w14:textId="77777777" w:rsidR="005575F8" w:rsidRPr="007F601C" w:rsidRDefault="005575F8" w:rsidP="007F601C">
            <w:pPr>
              <w:spacing w:before="0" w:after="0" w:line="240" w:lineRule="auto"/>
              <w:rPr>
                <w:sz w:val="20"/>
                <w:szCs w:val="20"/>
                <w:lang w:val="es-MX"/>
              </w:rPr>
            </w:pPr>
            <w:r w:rsidRPr="007F601C">
              <w:rPr>
                <w:sz w:val="20"/>
                <w:szCs w:val="20"/>
                <w:lang w:val="es-MX"/>
              </w:rPr>
              <w:t>Uso</w:t>
            </w:r>
          </w:p>
        </w:tc>
        <w:tc>
          <w:tcPr>
            <w:tcW w:w="2098" w:type="dxa"/>
            <w:vAlign w:val="center"/>
            <w:hideMark/>
          </w:tcPr>
          <w:p w14:paraId="147BB7EA"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Diferencias en habilidades y calidad de uso</w:t>
            </w:r>
          </w:p>
        </w:tc>
        <w:tc>
          <w:tcPr>
            <w:tcW w:w="2098" w:type="dxa"/>
            <w:vAlign w:val="center"/>
            <w:hideMark/>
          </w:tcPr>
          <w:p w14:paraId="694B586F"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Competencias, soporte y autonomía</w:t>
            </w:r>
          </w:p>
        </w:tc>
        <w:tc>
          <w:tcPr>
            <w:tcW w:w="2098" w:type="dxa"/>
            <w:vAlign w:val="center"/>
            <w:hideMark/>
          </w:tcPr>
          <w:p w14:paraId="0A8C7EA8"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Formación y acompañamiento diferenciado</w:t>
            </w:r>
          </w:p>
        </w:tc>
      </w:tr>
      <w:tr w:rsidR="005575F8" w:rsidRPr="005575F8" w14:paraId="731795F8" w14:textId="77777777" w:rsidTr="007F6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BB6AC8C" w14:textId="77777777" w:rsidR="005575F8" w:rsidRPr="007F601C" w:rsidRDefault="005575F8" w:rsidP="007F601C">
            <w:pPr>
              <w:spacing w:before="0" w:after="0" w:line="240" w:lineRule="auto"/>
              <w:rPr>
                <w:sz w:val="20"/>
                <w:szCs w:val="20"/>
                <w:lang w:val="es-MX"/>
              </w:rPr>
            </w:pPr>
            <w:r w:rsidRPr="007F601C">
              <w:rPr>
                <w:sz w:val="20"/>
                <w:szCs w:val="20"/>
                <w:lang w:val="es-MX"/>
              </w:rPr>
              <w:t>Resultado</w:t>
            </w:r>
          </w:p>
        </w:tc>
        <w:tc>
          <w:tcPr>
            <w:tcW w:w="2098" w:type="dxa"/>
            <w:vAlign w:val="center"/>
            <w:hideMark/>
          </w:tcPr>
          <w:p w14:paraId="4A062CCF"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Beneficios y oportunidades desiguales</w:t>
            </w:r>
          </w:p>
        </w:tc>
        <w:tc>
          <w:tcPr>
            <w:tcW w:w="2098" w:type="dxa"/>
            <w:vAlign w:val="center"/>
            <w:hideMark/>
          </w:tcPr>
          <w:p w14:paraId="69F1D2A5"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Aprendizaje, permanencia y participación</w:t>
            </w:r>
          </w:p>
        </w:tc>
        <w:tc>
          <w:tcPr>
            <w:tcW w:w="2098" w:type="dxa"/>
            <w:vAlign w:val="center"/>
            <w:hideMark/>
          </w:tcPr>
          <w:p w14:paraId="7D2AEEC9" w14:textId="77777777" w:rsidR="005575F8" w:rsidRPr="007F601C" w:rsidRDefault="005575F8" w:rsidP="007F601C">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7F601C">
              <w:rPr>
                <w:sz w:val="20"/>
                <w:szCs w:val="20"/>
                <w:lang w:val="es-MX"/>
              </w:rPr>
              <w:t>Evaluación distributiva y corrección</w:t>
            </w:r>
          </w:p>
        </w:tc>
      </w:tr>
      <w:tr w:rsidR="005575F8" w:rsidRPr="005575F8" w14:paraId="6DB7254C" w14:textId="77777777" w:rsidTr="007F601C">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6AE13C29" w14:textId="77777777" w:rsidR="005575F8" w:rsidRPr="007F601C" w:rsidRDefault="005575F8" w:rsidP="007F601C">
            <w:pPr>
              <w:spacing w:before="0" w:after="0" w:line="240" w:lineRule="auto"/>
              <w:rPr>
                <w:sz w:val="20"/>
                <w:szCs w:val="20"/>
                <w:lang w:val="es-MX"/>
              </w:rPr>
            </w:pPr>
            <w:r w:rsidRPr="007F601C">
              <w:rPr>
                <w:sz w:val="20"/>
                <w:szCs w:val="20"/>
                <w:lang w:val="es-MX"/>
              </w:rPr>
              <w:t>Representación</w:t>
            </w:r>
          </w:p>
        </w:tc>
        <w:tc>
          <w:tcPr>
            <w:tcW w:w="2098" w:type="dxa"/>
            <w:vAlign w:val="center"/>
            <w:hideMark/>
          </w:tcPr>
          <w:p w14:paraId="5DCDCE7A"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Grupos invisibles en datos y diseño</w:t>
            </w:r>
          </w:p>
        </w:tc>
        <w:tc>
          <w:tcPr>
            <w:tcW w:w="2098" w:type="dxa"/>
            <w:vAlign w:val="center"/>
            <w:hideMark/>
          </w:tcPr>
          <w:p w14:paraId="3B771994"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7F601C">
              <w:rPr>
                <w:sz w:val="20"/>
                <w:szCs w:val="20"/>
                <w:lang w:val="es-MX"/>
              </w:rPr>
              <w:t>Cobertura y participación</w:t>
            </w:r>
          </w:p>
        </w:tc>
        <w:tc>
          <w:tcPr>
            <w:tcW w:w="2098" w:type="dxa"/>
            <w:vAlign w:val="center"/>
            <w:hideMark/>
          </w:tcPr>
          <w:p w14:paraId="631D14E3" w14:textId="77777777" w:rsidR="005575F8" w:rsidRPr="007F601C" w:rsidRDefault="005575F8" w:rsidP="007F601C">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proofErr w:type="spellStart"/>
            <w:r w:rsidRPr="007F601C">
              <w:rPr>
                <w:sz w:val="20"/>
                <w:szCs w:val="20"/>
                <w:lang w:val="es-MX"/>
              </w:rPr>
              <w:t>Codiseño</w:t>
            </w:r>
            <w:proofErr w:type="spellEnd"/>
            <w:r w:rsidRPr="007F601C">
              <w:rPr>
                <w:sz w:val="20"/>
                <w:szCs w:val="20"/>
                <w:lang w:val="es-MX"/>
              </w:rPr>
              <w:t xml:space="preserve"> y vías humanas de contexto</w:t>
            </w:r>
          </w:p>
        </w:tc>
      </w:tr>
    </w:tbl>
    <w:p w14:paraId="261ED6D6" w14:textId="77777777" w:rsidR="005575F8" w:rsidRPr="005575F8" w:rsidRDefault="005575F8" w:rsidP="005575F8">
      <w:pPr>
        <w:rPr>
          <w:lang w:val="es-MX"/>
        </w:rPr>
      </w:pPr>
      <w:r w:rsidRPr="005575F8">
        <w:rPr>
          <w:i/>
          <w:iCs/>
          <w:lang w:val="es-MX"/>
        </w:rPr>
        <w:t>Fuente: elaboración propia a partir de las referencias citadas en el apartado.</w:t>
      </w:r>
    </w:p>
    <w:p w14:paraId="08249DE5" w14:textId="59107B09" w:rsidR="005575F8" w:rsidRPr="005575F8" w:rsidRDefault="005575F8" w:rsidP="007F601C">
      <w:pPr>
        <w:pStyle w:val="Ttulo3"/>
        <w:rPr>
          <w:lang w:val="es-MX"/>
        </w:rPr>
      </w:pPr>
      <w:bookmarkStart w:id="145" w:name="_Toc239441002"/>
      <w:r w:rsidRPr="005575F8">
        <w:rPr>
          <w:lang w:val="es-MX"/>
        </w:rPr>
        <w:t>Participación, alianzas territoriales y evaluación distributiva</w:t>
      </w:r>
      <w:bookmarkEnd w:id="145"/>
    </w:p>
    <w:p w14:paraId="7FCA1EF9" w14:textId="77777777" w:rsidR="005575F8" w:rsidRPr="005575F8" w:rsidRDefault="005575F8" w:rsidP="005575F8">
      <w:pPr>
        <w:rPr>
          <w:lang w:val="es-MX"/>
        </w:rPr>
      </w:pPr>
      <w:r w:rsidRPr="005575F8">
        <w:rPr>
          <w:lang w:val="es-MX"/>
        </w:rPr>
        <w:t>Participación y justicia procedimental. Las decisiones sobre datos e inteligencia artificial afectan oportunidades, cargas y formas de reconocimiento la comunidad necesita conocer qué sistemas se utilizan, con qué finalidades y cómo puede cuestionar un resultado. Una solución técnicamente disponible puede seguir siendo educativa y socialmente inaccesible si presupone recursos que no toda la comunidad posee. Una consulta sin información comprensible ni capacidad de modificar la decisión legitima procesos ya cerrados. La heterogeneidad de la comunidad universitaria requiere respuestas flexibles y evita considerar una única experiencia como norma. La gobernanza responsable de IA requiere transparencia, responsabilidad y protección de la agencia humana (UNESCO, 2021; Tabassi, 2023).</w:t>
      </w:r>
    </w:p>
    <w:p w14:paraId="08132CEC" w14:textId="77777777" w:rsidR="005575F8" w:rsidRPr="005575F8" w:rsidRDefault="005575F8" w:rsidP="005575F8">
      <w:pPr>
        <w:rPr>
          <w:lang w:val="es-MX"/>
        </w:rPr>
      </w:pPr>
      <w:r w:rsidRPr="005575F8">
        <w:rPr>
          <w:lang w:val="es-MX"/>
        </w:rPr>
        <w:t xml:space="preserve">La respuesta institucional consiste en crear registros públicos, evaluaciones participativas, mecanismos de reclamación y respuestas documentadas La decisión necesita reflejarse en </w:t>
      </w:r>
      <w:r w:rsidRPr="005575F8">
        <w:rPr>
          <w:lang w:val="es-MX"/>
        </w:rPr>
        <w:lastRenderedPageBreak/>
        <w:t>contratación, currículo, soporte y formación del personal para no depender de iniciativas aisladas. El avance puede examinarse mediante diversidad de participación, modificaciones adoptadas, reclamaciones resueltas y confianza institucional Los órganos de gobierno deben incluir voces estudiantiles, docentes, técnicas y comunitarias con poder efectivo. La evidencia resultante debe orientar ajustes y comunicarse de forma comprensible a la comunidad.</w:t>
      </w:r>
    </w:p>
    <w:p w14:paraId="62AF13F4" w14:textId="77777777" w:rsidR="005575F8" w:rsidRPr="005575F8" w:rsidRDefault="005575F8" w:rsidP="005575F8">
      <w:pPr>
        <w:rPr>
          <w:lang w:val="es-MX"/>
        </w:rPr>
      </w:pPr>
      <w:r w:rsidRPr="005575F8">
        <w:rPr>
          <w:lang w:val="es-MX"/>
        </w:rPr>
        <w:t xml:space="preserve">Política pública y alianzas territoriales. En educación superior, la universidad no puede resolver por sí sola desigualdades de telecomunicaciones, educación previa y desarrollo regional sin embargo, posee capacidad de investigar, articular actores y compartir infraestructura y conocimiento. El beneficio educativo depende tanto de la tecnología como de las normas, apoyos y relaciones humanas que organizan su utilización. Las alianzas sin salvaguardias pueden transferir datos a empresas o imponer soluciones ajenas a las prioridades comunitarias. La innovación merece legitimidad cuando distribuye beneficios y riesgos de una manera que la comunidad puede conocer y discutir. Los desafíos de conectividad y uso significativo requieren políticas coordinadas y evidencia pública comparable (International </w:t>
      </w:r>
      <w:proofErr w:type="spellStart"/>
      <w:r w:rsidRPr="005575F8">
        <w:rPr>
          <w:lang w:val="es-MX"/>
        </w:rPr>
        <w:t>Telecommunication</w:t>
      </w:r>
      <w:proofErr w:type="spellEnd"/>
      <w:r w:rsidRPr="005575F8">
        <w:rPr>
          <w:lang w:val="es-MX"/>
        </w:rPr>
        <w:t xml:space="preserve"> Union, 2025; UNESCO, 2023).</w:t>
      </w:r>
    </w:p>
    <w:p w14:paraId="719D56A6" w14:textId="77777777" w:rsidR="005575F8" w:rsidRPr="005575F8" w:rsidRDefault="005575F8" w:rsidP="005575F8">
      <w:pPr>
        <w:rPr>
          <w:lang w:val="es-MX"/>
        </w:rPr>
      </w:pPr>
      <w:r w:rsidRPr="005575F8">
        <w:rPr>
          <w:lang w:val="es-MX"/>
        </w:rPr>
        <w:t>La respuesta institucional requiere establecer convenios con objetivos públicos, responsabilidades claras, evaluación independiente y participación local Conviene probar la solución en contextos diversos, documentar sus límites y conservar una alternativa equivalente mientras se corrigen problemas. El avance puede examinarse mediante continuidad de beneficios, distribución territorial, protección de datos y capacidades instaladas Universidades, gobiernos, comunidades y proveedores deben acordar mecanismos de rendición de cuentas. El seguimiento permite saber si el apoyo reduce la barrera o si simplemente desplaza el problema hacia otra etapa.</w:t>
      </w:r>
    </w:p>
    <w:p w14:paraId="3C12046F" w14:textId="77777777" w:rsidR="005575F8" w:rsidRPr="005575F8" w:rsidRDefault="005575F8" w:rsidP="005575F8">
      <w:pPr>
        <w:rPr>
          <w:lang w:val="es-MX"/>
        </w:rPr>
      </w:pPr>
      <w:r w:rsidRPr="005575F8">
        <w:rPr>
          <w:lang w:val="es-MX"/>
        </w:rPr>
        <w:t>Evaluación distributiva de la innovación. Toda innovación debería examinar no solo su efecto promedio, sino quién recibe beneficios y quién asume riesgos un aumento general de eficiencia puede coexistir con mayores tasas de error o abandono en grupos específicos. Desde un enfoque de derechos, la atención se desplaza de una supuesta insuficiencia personal hacia las barreras creadas por el entorno. La promesa de escala facilita desplegar sistemas antes de comprender sus efectos distributivos. La IA puede ofrecer mediaciones útiles, aunque también incorpora dependencias comerciales, incertidumbre y nuevas formas de clasificación. Los enfoques de gestión de riesgo recomiendan contextualizar y medir antes de ampliar sistemas de inteligencia artificial (Tabassi, 2023).</w:t>
      </w:r>
    </w:p>
    <w:p w14:paraId="1A40DFFB" w14:textId="7BBEC546" w:rsidR="007F601C" w:rsidRDefault="005575F8" w:rsidP="005575F8">
      <w:pPr>
        <w:rPr>
          <w:lang w:val="es-MX"/>
        </w:rPr>
      </w:pPr>
      <w:r w:rsidRPr="005575F8">
        <w:rPr>
          <w:lang w:val="es-MX"/>
        </w:rPr>
        <w:t xml:space="preserve">La respuesta institucional debe comenzar por realizar pilotos representativos, definir condiciones de suspensión y comparar la solución con alternativas no automatizadas El diseño debe combinar una base universal con ajustes específicos, de modo que la ayuda responda a barreras reales sin estigmatizar. El avance puede examinarse mediante beneficios, daños, costos y errores </w:t>
      </w:r>
      <w:r w:rsidRPr="005575F8">
        <w:rPr>
          <w:lang w:val="es-MX"/>
        </w:rPr>
        <w:lastRenderedPageBreak/>
        <w:t>desagregados, junto con evidencia cualitativa La decisión de continuar debe pertenecer a una instancia independiente del equipo promotor y quedar documentada. Así, la inclusión se convierte en un criterio previo de calidad y no en una reparación excepcional.</w:t>
      </w:r>
    </w:p>
    <w:p w14:paraId="600D9C14" w14:textId="143C1498" w:rsidR="00F46565" w:rsidRDefault="00EF45B3" w:rsidP="005575F8">
      <w:pPr>
        <w:rPr>
          <w:lang w:val="es-MX"/>
        </w:rPr>
      </w:pPr>
      <w:r>
        <w:rPr>
          <w:noProof/>
          <w:lang w:val="es-MX"/>
        </w:rPr>
        <w:drawing>
          <wp:inline distT="0" distB="0" distL="0" distR="0" wp14:anchorId="4D518371" wp14:editId="5FEEC0B7">
            <wp:extent cx="5410200" cy="3581400"/>
            <wp:effectExtent l="0" t="0" r="0" b="0"/>
            <wp:docPr id="2403687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10200" cy="3581400"/>
                    </a:xfrm>
                    <a:prstGeom prst="rect">
                      <a:avLst/>
                    </a:prstGeom>
                    <a:noFill/>
                    <a:ln>
                      <a:noFill/>
                    </a:ln>
                  </pic:spPr>
                </pic:pic>
              </a:graphicData>
            </a:graphic>
          </wp:inline>
        </w:drawing>
      </w:r>
    </w:p>
    <w:p w14:paraId="60A305B7" w14:textId="77777777" w:rsidR="007F601C" w:rsidRDefault="007F601C">
      <w:pPr>
        <w:spacing w:before="0" w:after="160" w:line="278" w:lineRule="auto"/>
        <w:jc w:val="left"/>
        <w:rPr>
          <w:lang w:val="es-MX"/>
        </w:rPr>
      </w:pPr>
      <w:r>
        <w:rPr>
          <w:lang w:val="es-MX"/>
        </w:rPr>
        <w:br w:type="page"/>
      </w:r>
    </w:p>
    <w:p w14:paraId="511384DD" w14:textId="207F71E2" w:rsidR="00B14B0C" w:rsidRDefault="00B14B0C" w:rsidP="00B14B0C">
      <w:pPr>
        <w:pStyle w:val="Ttulo1"/>
      </w:pPr>
      <w:bookmarkStart w:id="146" w:name="_Toc239441003"/>
      <w:r w:rsidRPr="00B14B0C">
        <w:lastRenderedPageBreak/>
        <w:t xml:space="preserve">Capítulo </w:t>
      </w:r>
      <w:r w:rsidR="00FA6F60">
        <w:t>7</w:t>
      </w:r>
      <w:r>
        <w:t xml:space="preserve"> </w:t>
      </w:r>
      <w:r w:rsidRPr="00B14B0C">
        <w:t>Gobernanza y perspectivas futuras de la educación superior con IA</w:t>
      </w:r>
      <w:bookmarkEnd w:id="146"/>
    </w:p>
    <w:p w14:paraId="64DA53C6" w14:textId="77777777" w:rsidR="00B14B0C" w:rsidRDefault="00B14B0C">
      <w:pPr>
        <w:spacing w:before="0" w:after="160" w:line="278" w:lineRule="auto"/>
        <w:jc w:val="left"/>
        <w:rPr>
          <w:rFonts w:eastAsiaTheme="majorEastAsia" w:cs="Tahoma"/>
          <w:b/>
          <w:color w:val="262626"/>
          <w:sz w:val="28"/>
          <w:szCs w:val="40"/>
          <w:lang w:val="es-MX"/>
        </w:rPr>
      </w:pPr>
      <w:r>
        <w:br w:type="page"/>
      </w:r>
    </w:p>
    <w:p w14:paraId="7A35B520" w14:textId="77777777" w:rsidR="002D33D8" w:rsidRPr="00112430" w:rsidRDefault="002D33D8" w:rsidP="00112430">
      <w:pPr>
        <w:jc w:val="center"/>
        <w:rPr>
          <w:sz w:val="28"/>
          <w:szCs w:val="28"/>
          <w:lang w:val="es-MX"/>
        </w:rPr>
      </w:pPr>
      <w:r w:rsidRPr="00112430">
        <w:rPr>
          <w:b/>
          <w:bCs/>
          <w:sz w:val="28"/>
          <w:szCs w:val="28"/>
          <w:lang w:val="es-MX"/>
        </w:rPr>
        <w:lastRenderedPageBreak/>
        <w:t>Introducción</w:t>
      </w:r>
    </w:p>
    <w:p w14:paraId="79728FE5" w14:textId="77777777" w:rsidR="002D33D8" w:rsidRPr="002D33D8" w:rsidRDefault="002D33D8" w:rsidP="002D33D8">
      <w:pPr>
        <w:rPr>
          <w:lang w:val="es-MX"/>
        </w:rPr>
      </w:pPr>
      <w:r w:rsidRPr="002D33D8">
        <w:rPr>
          <w:lang w:val="es-MX"/>
        </w:rPr>
        <w:t>La inteligencia artificial ha dejado de ser una aplicación periférica para convertirse en una cuestión de gobierno universitario. Sus efectos atraviesan la enseñanza, la evaluación, la investigación, la contratación, los servicios estudiantiles y la administración. Cuando cada unidad adopta herramientas sin coordinación, la institución acumula criterios contradictorios, contratos incompatibles y riesgos que nadie observa en conjunto. La gobernanza permite responder a esta fragmentación mediante principios, responsabilidades, procedimientos y evidencias. No consiste en controlar toda innovación desde una oficina central, sino en establecer condiciones para que las decisiones distribuidas conserven coherencia con la misión académica, los derechos de la comunidad y las obligaciones legales. Su calidad se aprecia en la capacidad de orientar, aprender, corregir y rendir cuentas.</w:t>
      </w:r>
    </w:p>
    <w:p w14:paraId="3B074D63" w14:textId="6DE8E810" w:rsidR="002D33D8" w:rsidRPr="002D33D8" w:rsidRDefault="002D33D8" w:rsidP="002D33D8">
      <w:pPr>
        <w:rPr>
          <w:lang w:val="es-MX"/>
        </w:rPr>
      </w:pPr>
      <w:r w:rsidRPr="002D33D8">
        <w:rPr>
          <w:lang w:val="es-MX"/>
        </w:rPr>
        <w:t>Los capítulos anteriores mostraron que el valor educativo de la IA depende de decisiones humanas y organizacionales. La personalización requiere objetivos pedagógicos; la evaluación automatizada necesita validez y supervisión; la investigación exige transparencia; la gestión basada en datos demanda proporcionalidad; y la inclusión obliga a anticipar barreras. Estos asuntos convergen en una pregunta institucional: quién puede decidir qué sistemas se usan, con qué finalidad, bajo qué límites y mediante qué formas de revisión. Un marco de gobernanza debe responderla sin congelar el aprendizaje organizacional. La velocidad del cambio tecnológico vuelve insuficiente las políticas redactadas como catálogos cerrados de productos. Resulta más sostenible definir principios, niveles de riesgo y procesos aplicables a tecnologías presentes y futuras (Tabassi, 2023; UNESCO, 2021).</w:t>
      </w:r>
    </w:p>
    <w:p w14:paraId="223098EC" w14:textId="77777777" w:rsidR="002D33D8" w:rsidRPr="002D33D8" w:rsidRDefault="002D33D8" w:rsidP="002D33D8">
      <w:pPr>
        <w:rPr>
          <w:lang w:val="es-MX"/>
        </w:rPr>
      </w:pPr>
      <w:r w:rsidRPr="002D33D8">
        <w:rPr>
          <w:lang w:val="es-MX"/>
        </w:rPr>
        <w:t>La formación docente y el liderazgo constituyen la dimensión humana de esa arquitectura. Los profesores necesitan comprender posibilidades, límites y consecuencias de la IA para diseñar experiencias rigurosas y acompañar a sus estudiantes. Los directivos deben transformar esa comprensión en prioridades, recursos, incentivos y mecanismos de cooperación. Una capacitación aislada sobre el manejo de una aplicación no produce capacidad institucional si no existe tiempo para experimentar, apoyo para resolver problemas y reconocimiento del trabajo de rediseño. Los marcos recientes de competencias subrayan la agencia humana, la ética, el conocimiento técnico y el diseño pedagógico como dimensiones relacionadas (Miao &amp; Cukurova, 2024). Esta visión evita reducir la transformación universitaria a la compra de licencias.</w:t>
      </w:r>
    </w:p>
    <w:p w14:paraId="3D6753ED" w14:textId="75AC61FE" w:rsidR="00112430" w:rsidRDefault="00112430">
      <w:pPr>
        <w:spacing w:before="0" w:after="160" w:line="278" w:lineRule="auto"/>
        <w:jc w:val="left"/>
        <w:rPr>
          <w:lang w:val="es-MX"/>
        </w:rPr>
      </w:pPr>
      <w:r>
        <w:rPr>
          <w:lang w:val="es-MX"/>
        </w:rPr>
        <w:br w:type="page"/>
      </w:r>
    </w:p>
    <w:p w14:paraId="400B7BCC" w14:textId="6D997B58" w:rsidR="002D33D8" w:rsidRPr="002D33D8" w:rsidRDefault="002D33D8" w:rsidP="00112430">
      <w:pPr>
        <w:pStyle w:val="Ttulo2"/>
        <w:rPr>
          <w:lang w:val="es-MX"/>
        </w:rPr>
      </w:pPr>
      <w:bookmarkStart w:id="147" w:name="_Toc239441004"/>
      <w:r w:rsidRPr="002D33D8">
        <w:rPr>
          <w:lang w:val="es-MX"/>
        </w:rPr>
        <w:lastRenderedPageBreak/>
        <w:t>Gobernanza institucional de la inteligencia artificial</w:t>
      </w:r>
      <w:bookmarkEnd w:id="147"/>
    </w:p>
    <w:p w14:paraId="13990CA4" w14:textId="7D531C12" w:rsidR="002D33D8" w:rsidRPr="002D33D8" w:rsidRDefault="002D33D8" w:rsidP="00112430">
      <w:pPr>
        <w:pStyle w:val="Ttulo3"/>
        <w:rPr>
          <w:lang w:val="es-MX"/>
        </w:rPr>
      </w:pPr>
      <w:bookmarkStart w:id="148" w:name="_Toc239441005"/>
      <w:r w:rsidRPr="002D33D8">
        <w:rPr>
          <w:lang w:val="es-MX"/>
        </w:rPr>
        <w:t>Misión, principios y arquitectura de responsabilidades</w:t>
      </w:r>
      <w:bookmarkEnd w:id="148"/>
    </w:p>
    <w:p w14:paraId="7186A6A6" w14:textId="77777777" w:rsidR="002D33D8" w:rsidRPr="002D33D8" w:rsidRDefault="002D33D8" w:rsidP="002D33D8">
      <w:pPr>
        <w:rPr>
          <w:lang w:val="es-MX"/>
        </w:rPr>
      </w:pPr>
      <w:r w:rsidRPr="002D33D8">
        <w:rPr>
          <w:lang w:val="es-MX"/>
        </w:rPr>
        <w:t>Gobernanza vinculada con la misión. La gobernanza de IA debe comenzar por los fines educativos y científicos de la universidad una herramienta adquiere sentido institucional cuando responde a resultados de aprendizaje, prioridades de investigación o necesidades legítimas de servicio. La disponibilidad formal, por sí sola, no demuestra que el recurso pueda utilizarse de manera continua, autónoma y académicamente provechosa. Si la adopción se organiza alrededor de la oferta comercial, la tecnología puede redefinir prácticas sin deliberación académica. Los promedios institucionales pueden ocultar diferencias sistemáticas entre territorios, grupos y modalidades de estudio. Los marcos internacionales colocan el bienestar humano, la autonomía y el interés público en el centro de la IA responsable (OECD, 2019; UNESCO, 2021).</w:t>
      </w:r>
    </w:p>
    <w:p w14:paraId="55B41B8D" w14:textId="77777777" w:rsidR="002D33D8" w:rsidRPr="002D33D8" w:rsidRDefault="002D33D8" w:rsidP="002D33D8">
      <w:pPr>
        <w:rPr>
          <w:lang w:val="es-MX"/>
        </w:rPr>
      </w:pPr>
      <w:r w:rsidRPr="002D33D8">
        <w:rPr>
          <w:lang w:val="es-MX"/>
        </w:rPr>
        <w:t>La respuesta institucional consiste en traducir la misión en principios operativos y exigir que cada iniciativa justifique su contribución Su aplicación requiere coordinar docencia, tecnología, bienestar, bibliotecas y gestión, pues ninguna unidad controla por sí sola toda la experiencia. El avance puede examinarse mediante coherencia entre finalidad, usuarios, beneficios esperados, costos y riesgos El máximo órgano de gobierno debe aprobar la orientación general y revisar periódicamente su vigencia. Los hallazgos deben vincularse con decisiones presupuestarias y no limitarse a un informe descriptivo.</w:t>
      </w:r>
    </w:p>
    <w:p w14:paraId="7991C3C4" w14:textId="77777777" w:rsidR="002D33D8" w:rsidRPr="002D33D8" w:rsidRDefault="002D33D8" w:rsidP="002D33D8">
      <w:pPr>
        <w:rPr>
          <w:lang w:val="es-MX"/>
        </w:rPr>
      </w:pPr>
      <w:r w:rsidRPr="002D33D8">
        <w:rPr>
          <w:lang w:val="es-MX"/>
        </w:rPr>
        <w:t xml:space="preserve">Arquitectura de responsabilidades. En educación superior, una política eficaz identifica quién propone, evalúa, autoriza, implementa, supervisa y retira un sistema estas funciones pueden distribuirse entre órganos académicos, tecnologías, asesoría jurídica, protección de datos, compras, investigación y bienestar. La equidad exige valorar el recorrido completo y no solo confirmar que existe una cuenta, una aplicación o un punto de conexión. La responsabilidad se diluye cuando todos participan de manera informal y nadie posee autoridad para detener un uso dañino. El objetivo educativo debe mantenerse visible para impedir que las exigencias de la herramienta sustituyan los resultados de aprendizaje. La responsabilidad organizacional exige funciones claras y supervisión durante el ciclo de vida (International </w:t>
      </w:r>
      <w:proofErr w:type="spellStart"/>
      <w:r w:rsidRPr="002D33D8">
        <w:rPr>
          <w:lang w:val="es-MX"/>
        </w:rPr>
        <w:t>Organization</w:t>
      </w:r>
      <w:proofErr w:type="spellEnd"/>
      <w:r w:rsidRPr="002D33D8">
        <w:rPr>
          <w:lang w:val="es-MX"/>
        </w:rPr>
        <w:t xml:space="preserve"> </w:t>
      </w:r>
      <w:proofErr w:type="spellStart"/>
      <w:r w:rsidRPr="002D33D8">
        <w:rPr>
          <w:lang w:val="es-MX"/>
        </w:rPr>
        <w:t>for</w:t>
      </w:r>
      <w:proofErr w:type="spellEnd"/>
      <w:r w:rsidRPr="002D33D8">
        <w:rPr>
          <w:lang w:val="es-MX"/>
        </w:rPr>
        <w:t xml:space="preserve"> </w:t>
      </w:r>
      <w:proofErr w:type="spellStart"/>
      <w:r w:rsidRPr="002D33D8">
        <w:rPr>
          <w:lang w:val="es-MX"/>
        </w:rPr>
        <w:t>Standardization</w:t>
      </w:r>
      <w:proofErr w:type="spellEnd"/>
      <w:r w:rsidRPr="002D33D8">
        <w:rPr>
          <w:lang w:val="es-MX"/>
        </w:rPr>
        <w:t>, 2023; Tabassi, 2023).</w:t>
      </w:r>
    </w:p>
    <w:p w14:paraId="68102458" w14:textId="77777777" w:rsidR="002D33D8" w:rsidRPr="002D33D8" w:rsidRDefault="002D33D8" w:rsidP="002D33D8">
      <w:pPr>
        <w:rPr>
          <w:lang w:val="es-MX"/>
        </w:rPr>
      </w:pPr>
      <w:r w:rsidRPr="002D33D8">
        <w:rPr>
          <w:lang w:val="es-MX"/>
        </w:rPr>
        <w:t>La respuesta institucional requiere establecer un comité interdisciplinario, propietarios de procesos y rutas de escalamiento proporcionales La acción debe incorporarse a la planificación ordinaria, con presupuesto, responsables, plazos y una vía accesible para comunicar dificultades. El avance puede examinarse mediante decisiones registradas, tiempos de respuesta, conflictos resueltos y cobertura de unidades La representación estudiantil y docente debe tener capacidad real de influir, no una función únicamente consultiva. La transparencia sobre avances y pendientes favorece confianza, aprendizaje organizacional y rendición de cuentas.</w:t>
      </w:r>
    </w:p>
    <w:p w14:paraId="4E4F44C5" w14:textId="2AA95A24" w:rsidR="002D33D8" w:rsidRDefault="002D33D8" w:rsidP="00112430">
      <w:pPr>
        <w:pStyle w:val="Ttulo3"/>
        <w:rPr>
          <w:lang w:val="es-MX"/>
        </w:rPr>
      </w:pPr>
      <w:bookmarkStart w:id="149" w:name="_Toc239441006"/>
      <w:r w:rsidRPr="002D33D8">
        <w:rPr>
          <w:lang w:val="es-MX"/>
        </w:rPr>
        <w:lastRenderedPageBreak/>
        <w:t>Inventario y clasificación proporcional del riesgo</w:t>
      </w:r>
      <w:bookmarkEnd w:id="149"/>
    </w:p>
    <w:p w14:paraId="1FF49864" w14:textId="79B9E5D3" w:rsidR="00AE76B9" w:rsidRPr="00AE76B9" w:rsidRDefault="00C52F13" w:rsidP="00AE76B9">
      <w:pPr>
        <w:rPr>
          <w:lang w:val="es-MX"/>
        </w:rPr>
      </w:pPr>
      <w:r>
        <w:rPr>
          <w:noProof/>
          <w:lang w:val="es-MX"/>
        </w:rPr>
        <w:drawing>
          <wp:inline distT="0" distB="0" distL="0" distR="0" wp14:anchorId="47B9311A" wp14:editId="6BB2C98F">
            <wp:extent cx="5400675" cy="3600450"/>
            <wp:effectExtent l="0" t="0" r="9525" b="0"/>
            <wp:docPr id="189789962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520E1C9F" w14:textId="77777777" w:rsidR="002D33D8" w:rsidRPr="002D33D8" w:rsidRDefault="002D33D8" w:rsidP="002D33D8">
      <w:pPr>
        <w:rPr>
          <w:lang w:val="es-MX"/>
        </w:rPr>
      </w:pPr>
      <w:r w:rsidRPr="002D33D8">
        <w:rPr>
          <w:lang w:val="es-MX"/>
        </w:rPr>
        <w:t>Inventario institucional de sistemas. La universidad no puede gobernar herramientas cuya existencia desconoce los sistemas de IA aparecen en plataformas centrales, servicios contratados y aplicaciones adoptadas directamente por docentes o estudiantes. La evaluación responsable debe observar la calidad de la experiencia, además del número de usuarios registrados por el sistema. Un inventario limitado a compras centrales omite extensiones, funciones incorporadas en actualizaciones y experimentos que procesan datos institucionales. El acceso significativo exige capacidad de elección y no solamente aceptación de las condiciones definidas por el proveedor. La gestión de riesgos requiere mapear el contexto y los recursos de IA antes de medir y tratar sus impactos (Tabassi, 2023).</w:t>
      </w:r>
    </w:p>
    <w:p w14:paraId="026CDE8D" w14:textId="77777777" w:rsidR="002D33D8" w:rsidRPr="002D33D8" w:rsidRDefault="002D33D8" w:rsidP="002D33D8">
      <w:pPr>
        <w:rPr>
          <w:lang w:val="es-MX"/>
        </w:rPr>
      </w:pPr>
      <w:r w:rsidRPr="002D33D8">
        <w:rPr>
          <w:lang w:val="es-MX"/>
        </w:rPr>
        <w:t>La respuesta institucional debe comenzar por mantener un registro vivo de sistemas, finalidades, responsables, proveedores, datos, usuarios y estado de revisión El criterio tiene que formar parte de la garantía de calidad y ser exigible a unidades internas y proveedores externos. El avance puede examinarse mediante porcentaje de usos identificados, cambios reportados, herramientas no autorizadas y fechas de reevaluación Cada unidad debe informar incorporaciones mediante un procedimiento sencillo que no desaliente la transparencia. Una mejora demostrable combina desempeño técnico, experiencia de usuario y efectos educativos.</w:t>
      </w:r>
    </w:p>
    <w:p w14:paraId="25A27215" w14:textId="77777777" w:rsidR="002D33D8" w:rsidRPr="002D33D8" w:rsidRDefault="002D33D8" w:rsidP="002D33D8">
      <w:pPr>
        <w:rPr>
          <w:lang w:val="es-MX"/>
        </w:rPr>
      </w:pPr>
      <w:r w:rsidRPr="002D33D8">
        <w:rPr>
          <w:lang w:val="es-MX"/>
        </w:rPr>
        <w:t xml:space="preserve">Clasificación proporcional del riesgo. No todas las aplicaciones justifican el mismo nivel de control un corrector opcional tiene consecuencias distintas de un sistema que influye en admisión, calificación, becas, contratación o disciplina. La experiencia concreta revela diferencias que </w:t>
      </w:r>
      <w:r w:rsidRPr="002D33D8">
        <w:rPr>
          <w:lang w:val="es-MX"/>
        </w:rPr>
        <w:lastRenderedPageBreak/>
        <w:t>suelen desaparecer cuando la institución observa únicamente cifras agregadas. Aplicar controles idénticos puede burocratizar usos de bajo impacto y normalizar sistemas críticos bajo una revisión superficial. Las ventajas prometidas necesitan compararse con los costos de participación, privacidad, aprendizaje y soporte que soportan distintos grupos. La regulación europea adopta un enfoque basado en riesgo y establece obligaciones reforzadas para determinados usos educativos (</w:t>
      </w:r>
      <w:proofErr w:type="spellStart"/>
      <w:r w:rsidRPr="002D33D8">
        <w:rPr>
          <w:lang w:val="es-MX"/>
        </w:rPr>
        <w:t>European</w:t>
      </w:r>
      <w:proofErr w:type="spellEnd"/>
      <w:r w:rsidRPr="002D33D8">
        <w:rPr>
          <w:lang w:val="es-MX"/>
        </w:rPr>
        <w:t xml:space="preserve"> Parliament &amp; Council </w:t>
      </w:r>
      <w:proofErr w:type="spellStart"/>
      <w:r w:rsidRPr="002D33D8">
        <w:rPr>
          <w:lang w:val="es-MX"/>
        </w:rPr>
        <w:t>of</w:t>
      </w:r>
      <w:proofErr w:type="spellEnd"/>
      <w:r w:rsidRPr="002D33D8">
        <w:rPr>
          <w:lang w:val="es-MX"/>
        </w:rPr>
        <w:t xml:space="preserve"> </w:t>
      </w:r>
      <w:proofErr w:type="spellStart"/>
      <w:r w:rsidRPr="002D33D8">
        <w:rPr>
          <w:lang w:val="es-MX"/>
        </w:rPr>
        <w:t>the</w:t>
      </w:r>
      <w:proofErr w:type="spellEnd"/>
      <w:r w:rsidRPr="002D33D8">
        <w:rPr>
          <w:lang w:val="es-MX"/>
        </w:rPr>
        <w:t xml:space="preserve"> </w:t>
      </w:r>
      <w:proofErr w:type="spellStart"/>
      <w:r w:rsidRPr="002D33D8">
        <w:rPr>
          <w:lang w:val="es-MX"/>
        </w:rPr>
        <w:t>European</w:t>
      </w:r>
      <w:proofErr w:type="spellEnd"/>
      <w:r w:rsidRPr="002D33D8">
        <w:rPr>
          <w:lang w:val="es-MX"/>
        </w:rPr>
        <w:t xml:space="preserve"> Union, 2024).</w:t>
      </w:r>
    </w:p>
    <w:p w14:paraId="63FF6592" w14:textId="77777777" w:rsidR="002D33D8" w:rsidRPr="002D33D8" w:rsidRDefault="002D33D8" w:rsidP="002D33D8">
      <w:pPr>
        <w:rPr>
          <w:lang w:val="es-MX"/>
        </w:rPr>
      </w:pPr>
      <w:r w:rsidRPr="002D33D8">
        <w:rPr>
          <w:lang w:val="es-MX"/>
        </w:rPr>
        <w:t>La respuesta institucional se concreta al clasificar los casos según finalidad, población, autonomía, sensibilidad de datos, escala y reversibilidad La puesta en práctica necesita reglas de escalamiento para que los problemas repetidos se conviertan en mejoras del sistema. El avance puede examinarse mediante distribución por niveles, decisiones de autorización y salvaguardias exigidas a cada categoría Las aplicaciones de alto impacto necesitan evidencia independiente, supervisión humana y posibilidad efectiva de recurso. Este procedimiento permite abandonar soluciones ineficaces antes de que su uso se vuelva una obligación informal.</w:t>
      </w:r>
    </w:p>
    <w:p w14:paraId="57E88FFE" w14:textId="2859FC67" w:rsidR="002D33D8" w:rsidRPr="002D33D8" w:rsidRDefault="002D33D8" w:rsidP="002D33D8">
      <w:pPr>
        <w:rPr>
          <w:lang w:val="es-MX"/>
        </w:rPr>
      </w:pPr>
      <w:r w:rsidRPr="002D33D8">
        <w:rPr>
          <w:b/>
          <w:bCs/>
          <w:lang w:val="es-MX"/>
        </w:rPr>
        <w:t xml:space="preserve">Tabla </w:t>
      </w:r>
      <w:r w:rsidR="00FA6F60">
        <w:rPr>
          <w:b/>
          <w:bCs/>
          <w:lang w:val="es-MX"/>
        </w:rPr>
        <w:t>7</w:t>
      </w:r>
      <w:r w:rsidRPr="002D33D8">
        <w:rPr>
          <w:b/>
          <w:bCs/>
          <w:lang w:val="es-MX"/>
        </w:rPr>
        <w:t>.1. Niveles de riesgo y requisitos de gobernanza</w:t>
      </w:r>
    </w:p>
    <w:tbl>
      <w:tblPr>
        <w:tblStyle w:val="Tablanormal2"/>
        <w:tblW w:w="8392" w:type="dxa"/>
        <w:tblLook w:val="04A0" w:firstRow="1" w:lastRow="0" w:firstColumn="1" w:lastColumn="0" w:noHBand="0" w:noVBand="1"/>
      </w:tblPr>
      <w:tblGrid>
        <w:gridCol w:w="2098"/>
        <w:gridCol w:w="2098"/>
        <w:gridCol w:w="2098"/>
        <w:gridCol w:w="2098"/>
      </w:tblGrid>
      <w:tr w:rsidR="002D33D8" w:rsidRPr="002D33D8" w14:paraId="333EC8F4" w14:textId="77777777" w:rsidTr="001124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FE8EA14" w14:textId="77777777" w:rsidR="002D33D8" w:rsidRPr="00112430" w:rsidRDefault="002D33D8" w:rsidP="00112430">
            <w:pPr>
              <w:spacing w:before="0" w:after="0" w:line="240" w:lineRule="auto"/>
              <w:rPr>
                <w:sz w:val="20"/>
                <w:szCs w:val="20"/>
                <w:lang w:val="es-MX"/>
              </w:rPr>
            </w:pPr>
            <w:r w:rsidRPr="00112430">
              <w:rPr>
                <w:sz w:val="20"/>
                <w:szCs w:val="20"/>
                <w:lang w:val="es-MX"/>
              </w:rPr>
              <w:t>Nivel</w:t>
            </w:r>
          </w:p>
        </w:tc>
        <w:tc>
          <w:tcPr>
            <w:tcW w:w="2098" w:type="dxa"/>
            <w:vAlign w:val="center"/>
            <w:hideMark/>
          </w:tcPr>
          <w:p w14:paraId="7568BCD5" w14:textId="77777777" w:rsidR="002D33D8" w:rsidRPr="00112430" w:rsidRDefault="002D33D8" w:rsidP="00112430">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Ejemplo</w:t>
            </w:r>
          </w:p>
        </w:tc>
        <w:tc>
          <w:tcPr>
            <w:tcW w:w="2098" w:type="dxa"/>
            <w:vAlign w:val="center"/>
            <w:hideMark/>
          </w:tcPr>
          <w:p w14:paraId="4E2120BA" w14:textId="77777777" w:rsidR="002D33D8" w:rsidRPr="00112430" w:rsidRDefault="002D33D8" w:rsidP="00112430">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Requisitos</w:t>
            </w:r>
          </w:p>
        </w:tc>
        <w:tc>
          <w:tcPr>
            <w:tcW w:w="2098" w:type="dxa"/>
            <w:vAlign w:val="center"/>
            <w:hideMark/>
          </w:tcPr>
          <w:p w14:paraId="67F16865" w14:textId="77777777" w:rsidR="002D33D8" w:rsidRPr="00112430" w:rsidRDefault="002D33D8" w:rsidP="00112430">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Autoridad</w:t>
            </w:r>
          </w:p>
        </w:tc>
      </w:tr>
      <w:tr w:rsidR="002D33D8" w:rsidRPr="002D33D8" w14:paraId="32CD328B" w14:textId="77777777" w:rsidTr="0011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AAFFF74" w14:textId="77777777" w:rsidR="002D33D8" w:rsidRPr="00112430" w:rsidRDefault="002D33D8" w:rsidP="00112430">
            <w:pPr>
              <w:spacing w:before="0" w:after="0" w:line="240" w:lineRule="auto"/>
              <w:rPr>
                <w:sz w:val="20"/>
                <w:szCs w:val="20"/>
                <w:lang w:val="es-MX"/>
              </w:rPr>
            </w:pPr>
            <w:r w:rsidRPr="00112430">
              <w:rPr>
                <w:sz w:val="20"/>
                <w:szCs w:val="20"/>
                <w:lang w:val="es-MX"/>
              </w:rPr>
              <w:t>Bajo</w:t>
            </w:r>
          </w:p>
        </w:tc>
        <w:tc>
          <w:tcPr>
            <w:tcW w:w="2098" w:type="dxa"/>
            <w:vAlign w:val="center"/>
            <w:hideMark/>
          </w:tcPr>
          <w:p w14:paraId="1CE7AB35"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Corrector opcional sobre texto propio</w:t>
            </w:r>
          </w:p>
        </w:tc>
        <w:tc>
          <w:tcPr>
            <w:tcW w:w="2098" w:type="dxa"/>
            <w:vAlign w:val="center"/>
            <w:hideMark/>
          </w:tcPr>
          <w:p w14:paraId="7E9FCE37"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Información, verificación y registro básico</w:t>
            </w:r>
          </w:p>
        </w:tc>
        <w:tc>
          <w:tcPr>
            <w:tcW w:w="2098" w:type="dxa"/>
            <w:vAlign w:val="center"/>
            <w:hideMark/>
          </w:tcPr>
          <w:p w14:paraId="53B71C80"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Unidad responsable</w:t>
            </w:r>
          </w:p>
        </w:tc>
      </w:tr>
      <w:tr w:rsidR="002D33D8" w:rsidRPr="002D33D8" w14:paraId="785107CA" w14:textId="77777777" w:rsidTr="00112430">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518C263" w14:textId="77777777" w:rsidR="002D33D8" w:rsidRPr="00112430" w:rsidRDefault="002D33D8" w:rsidP="00112430">
            <w:pPr>
              <w:spacing w:before="0" w:after="0" w:line="240" w:lineRule="auto"/>
              <w:rPr>
                <w:sz w:val="20"/>
                <w:szCs w:val="20"/>
                <w:lang w:val="es-MX"/>
              </w:rPr>
            </w:pPr>
            <w:r w:rsidRPr="00112430">
              <w:rPr>
                <w:sz w:val="20"/>
                <w:szCs w:val="20"/>
                <w:lang w:val="es-MX"/>
              </w:rPr>
              <w:t>Moderado</w:t>
            </w:r>
          </w:p>
        </w:tc>
        <w:tc>
          <w:tcPr>
            <w:tcW w:w="2098" w:type="dxa"/>
            <w:vAlign w:val="center"/>
            <w:hideMark/>
          </w:tcPr>
          <w:p w14:paraId="21E5F2CF"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Asistente institucional o recomendación académica</w:t>
            </w:r>
          </w:p>
        </w:tc>
        <w:tc>
          <w:tcPr>
            <w:tcW w:w="2098" w:type="dxa"/>
            <w:vAlign w:val="center"/>
            <w:hideMark/>
          </w:tcPr>
          <w:p w14:paraId="0DA0B470"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Pruebas, privacidad, accesibilidad y supervisión</w:t>
            </w:r>
          </w:p>
        </w:tc>
        <w:tc>
          <w:tcPr>
            <w:tcW w:w="2098" w:type="dxa"/>
            <w:vAlign w:val="center"/>
            <w:hideMark/>
          </w:tcPr>
          <w:p w14:paraId="6936D9DE"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Comité técnico o académico</w:t>
            </w:r>
          </w:p>
        </w:tc>
      </w:tr>
      <w:tr w:rsidR="002D33D8" w:rsidRPr="002D33D8" w14:paraId="16A04FA7" w14:textId="77777777" w:rsidTr="0011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7A4D109" w14:textId="77777777" w:rsidR="002D33D8" w:rsidRPr="00112430" w:rsidRDefault="002D33D8" w:rsidP="00112430">
            <w:pPr>
              <w:spacing w:before="0" w:after="0" w:line="240" w:lineRule="auto"/>
              <w:rPr>
                <w:sz w:val="20"/>
                <w:szCs w:val="20"/>
                <w:lang w:val="es-MX"/>
              </w:rPr>
            </w:pPr>
            <w:r w:rsidRPr="00112430">
              <w:rPr>
                <w:sz w:val="20"/>
                <w:szCs w:val="20"/>
                <w:lang w:val="es-MX"/>
              </w:rPr>
              <w:t>Alto</w:t>
            </w:r>
          </w:p>
        </w:tc>
        <w:tc>
          <w:tcPr>
            <w:tcW w:w="2098" w:type="dxa"/>
            <w:vAlign w:val="center"/>
            <w:hideMark/>
          </w:tcPr>
          <w:p w14:paraId="68F41B76"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Admisión, permanencia, becas o evaluación</w:t>
            </w:r>
          </w:p>
        </w:tc>
        <w:tc>
          <w:tcPr>
            <w:tcW w:w="2098" w:type="dxa"/>
            <w:vAlign w:val="center"/>
            <w:hideMark/>
          </w:tcPr>
          <w:p w14:paraId="77CE6BDC"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Impacto, auditoría, explicación, recurso y monitoreo</w:t>
            </w:r>
          </w:p>
        </w:tc>
        <w:tc>
          <w:tcPr>
            <w:tcW w:w="2098" w:type="dxa"/>
            <w:vAlign w:val="center"/>
            <w:hideMark/>
          </w:tcPr>
          <w:p w14:paraId="450CC9A3" w14:textId="77777777" w:rsidR="002D33D8" w:rsidRPr="00112430" w:rsidRDefault="002D33D8" w:rsidP="00112430">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112430">
              <w:rPr>
                <w:sz w:val="20"/>
                <w:szCs w:val="20"/>
                <w:lang w:val="es-MX"/>
              </w:rPr>
              <w:t>Instancia colegiada superior</w:t>
            </w:r>
          </w:p>
        </w:tc>
      </w:tr>
      <w:tr w:rsidR="002D33D8" w:rsidRPr="002D33D8" w14:paraId="5A4D318C" w14:textId="77777777" w:rsidTr="00112430">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F1C808D" w14:textId="77777777" w:rsidR="002D33D8" w:rsidRPr="00112430" w:rsidRDefault="002D33D8" w:rsidP="00112430">
            <w:pPr>
              <w:spacing w:before="0" w:after="0" w:line="240" w:lineRule="auto"/>
              <w:rPr>
                <w:sz w:val="20"/>
                <w:szCs w:val="20"/>
                <w:lang w:val="es-MX"/>
              </w:rPr>
            </w:pPr>
            <w:r w:rsidRPr="00112430">
              <w:rPr>
                <w:sz w:val="20"/>
                <w:szCs w:val="20"/>
                <w:lang w:val="es-MX"/>
              </w:rPr>
              <w:t>Inaceptable</w:t>
            </w:r>
          </w:p>
        </w:tc>
        <w:tc>
          <w:tcPr>
            <w:tcW w:w="2098" w:type="dxa"/>
            <w:vAlign w:val="center"/>
            <w:hideMark/>
          </w:tcPr>
          <w:p w14:paraId="237C749F"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Vigilancia intrusiva o decisión sin apelación</w:t>
            </w:r>
          </w:p>
        </w:tc>
        <w:tc>
          <w:tcPr>
            <w:tcW w:w="2098" w:type="dxa"/>
            <w:vAlign w:val="center"/>
            <w:hideMark/>
          </w:tcPr>
          <w:p w14:paraId="7892B19A"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Prohibición, prevención y retiro</w:t>
            </w:r>
          </w:p>
        </w:tc>
        <w:tc>
          <w:tcPr>
            <w:tcW w:w="2098" w:type="dxa"/>
            <w:vAlign w:val="center"/>
            <w:hideMark/>
          </w:tcPr>
          <w:p w14:paraId="2EB469D7" w14:textId="77777777" w:rsidR="002D33D8" w:rsidRPr="00112430" w:rsidRDefault="002D33D8" w:rsidP="00112430">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112430">
              <w:rPr>
                <w:sz w:val="20"/>
                <w:szCs w:val="20"/>
                <w:lang w:val="es-MX"/>
              </w:rPr>
              <w:t>Gobierno institucional</w:t>
            </w:r>
          </w:p>
        </w:tc>
      </w:tr>
    </w:tbl>
    <w:p w14:paraId="5E72BCE5" w14:textId="77777777" w:rsidR="002D33D8" w:rsidRPr="002D33D8" w:rsidRDefault="002D33D8" w:rsidP="002D33D8">
      <w:pPr>
        <w:rPr>
          <w:lang w:val="es-MX"/>
        </w:rPr>
      </w:pPr>
      <w:r w:rsidRPr="002D33D8">
        <w:rPr>
          <w:i/>
          <w:iCs/>
          <w:lang w:val="es-MX"/>
        </w:rPr>
        <w:t>Fuente: elaboración propia a partir de las referencias citadas en el apartado.</w:t>
      </w:r>
    </w:p>
    <w:p w14:paraId="72C592C0" w14:textId="34326FBD" w:rsidR="002D33D8" w:rsidRPr="002D33D8" w:rsidRDefault="002D33D8" w:rsidP="00112430">
      <w:pPr>
        <w:pStyle w:val="Ttulo3"/>
        <w:rPr>
          <w:lang w:val="es-MX"/>
        </w:rPr>
      </w:pPr>
      <w:bookmarkStart w:id="150" w:name="_Toc239441007"/>
      <w:r w:rsidRPr="002D33D8">
        <w:rPr>
          <w:lang w:val="es-MX"/>
        </w:rPr>
        <w:t>Ciclo de vida y gobernanza de datos</w:t>
      </w:r>
      <w:bookmarkEnd w:id="150"/>
    </w:p>
    <w:p w14:paraId="209BCFBB" w14:textId="77777777" w:rsidR="002D33D8" w:rsidRPr="002D33D8" w:rsidRDefault="002D33D8" w:rsidP="002D33D8">
      <w:pPr>
        <w:rPr>
          <w:lang w:val="es-MX"/>
        </w:rPr>
      </w:pPr>
      <w:r w:rsidRPr="002D33D8">
        <w:rPr>
          <w:lang w:val="es-MX"/>
        </w:rPr>
        <w:t xml:space="preserve">Gobierno del ciclo de vida. La aprobación inicial no garantiza que un sistema continúe siendo adecuado los modelos, datos, interfaces, precios y condiciones contractuales cambian, mientras los usuarios encuentran efectos que no fueron previstos. Las barreras pueden ser permanentes, temporales o situacionales, y con frecuencia se acumulan durante una misma trayectoria académica. Una decisión permanente basada en una prueba breve convierte la evaluación en un trámite y permite degradaciones silenciosas. Las consecuencias deben analizarse durante todo el ciclo de vida, porque una actualización puede modificar costos, requisitos o accesibilidad. Los sistemas de gestión de IA y los marcos de riesgo recomiendan controles continuos, documentación y mejora (International </w:t>
      </w:r>
      <w:proofErr w:type="spellStart"/>
      <w:r w:rsidRPr="002D33D8">
        <w:rPr>
          <w:lang w:val="es-MX"/>
        </w:rPr>
        <w:t>Organization</w:t>
      </w:r>
      <w:proofErr w:type="spellEnd"/>
      <w:r w:rsidRPr="002D33D8">
        <w:rPr>
          <w:lang w:val="es-MX"/>
        </w:rPr>
        <w:t xml:space="preserve"> </w:t>
      </w:r>
      <w:proofErr w:type="spellStart"/>
      <w:r w:rsidRPr="002D33D8">
        <w:rPr>
          <w:lang w:val="es-MX"/>
        </w:rPr>
        <w:t>for</w:t>
      </w:r>
      <w:proofErr w:type="spellEnd"/>
      <w:r w:rsidRPr="002D33D8">
        <w:rPr>
          <w:lang w:val="es-MX"/>
        </w:rPr>
        <w:t xml:space="preserve"> </w:t>
      </w:r>
      <w:proofErr w:type="spellStart"/>
      <w:r w:rsidRPr="002D33D8">
        <w:rPr>
          <w:lang w:val="es-MX"/>
        </w:rPr>
        <w:t>Standardization</w:t>
      </w:r>
      <w:proofErr w:type="spellEnd"/>
      <w:r w:rsidRPr="002D33D8">
        <w:rPr>
          <w:lang w:val="es-MX"/>
        </w:rPr>
        <w:t>, 2023; Tabassi, 2023).</w:t>
      </w:r>
    </w:p>
    <w:p w14:paraId="147CF5B4" w14:textId="77777777" w:rsidR="002D33D8" w:rsidRPr="002D33D8" w:rsidRDefault="002D33D8" w:rsidP="002D33D8">
      <w:pPr>
        <w:rPr>
          <w:lang w:val="es-MX"/>
        </w:rPr>
      </w:pPr>
      <w:r w:rsidRPr="002D33D8">
        <w:rPr>
          <w:lang w:val="es-MX"/>
        </w:rPr>
        <w:t xml:space="preserve">La respuesta institucional consiste en definir puertas de revisión para diseño, piloto, despliegue, actualización, renovación y retiro La institución debe mantener canales alternativos y asegurar </w:t>
      </w:r>
      <w:r w:rsidRPr="002D33D8">
        <w:rPr>
          <w:lang w:val="es-MX"/>
        </w:rPr>
        <w:lastRenderedPageBreak/>
        <w:t>que elegirlos no implique menor validez, mayor costo ni demoras desproporcionadas. El avance puede examinarse mediante desempeño por versión, incidentes, cambios materiales, resultados distributivos y cumplimiento de condiciones Los responsables del proceso deben conservar documentación suficiente para reconstruir por qué se tomó cada decisión. La meta es ampliar capacidades y opciones reales, no alcanzar una cifra de adopción desvinculada del aprendizaje.</w:t>
      </w:r>
    </w:p>
    <w:p w14:paraId="18EAB9C8" w14:textId="77777777" w:rsidR="002D33D8" w:rsidRPr="002D33D8" w:rsidRDefault="002D33D8" w:rsidP="002D33D8">
      <w:pPr>
        <w:rPr>
          <w:lang w:val="es-MX"/>
        </w:rPr>
      </w:pPr>
      <w:r w:rsidRPr="002D33D8">
        <w:rPr>
          <w:lang w:val="es-MX"/>
        </w:rPr>
        <w:t>Gobernanza de datos. En educación superior, la calidad y legitimidad de un sistema dependen de los datos que recibe, produce e infiere las universidades administran expedientes académicos, interacciones, investigaciones y categorías personales que pueden revelar información sensible. El análisis debe considerar quién accede, desde qué entorno, con cuánto tiempo, a qué costo y con qué posibilidades de solicitar ayuda. La reutilización por conveniencia amplía finalidades, aumenta exposición y puede convertir datos educativos en mecanismos de vigilancia. Si esta desigualdad se atribuye al esfuerzo individual, la organización evita examinar las decisiones que producen o agravan la desventaja. La gobernanza de datos necesita considerar derechos, contexto y asimetrías de poder, además de precisión técnica (Slade &amp; Prinsloo, 2013; UNESCO, 2021).</w:t>
      </w:r>
    </w:p>
    <w:p w14:paraId="7FE5FAC1" w14:textId="77777777" w:rsidR="002D33D8" w:rsidRPr="002D33D8" w:rsidRDefault="002D33D8" w:rsidP="002D33D8">
      <w:pPr>
        <w:rPr>
          <w:lang w:val="es-MX"/>
        </w:rPr>
      </w:pPr>
      <w:r w:rsidRPr="002D33D8">
        <w:rPr>
          <w:lang w:val="es-MX"/>
        </w:rPr>
        <w:t>La respuesta institucional requiere aplicar minimización, calidad, límites de finalidad, conservación definida, seguridad y derechos de acceso El apoyo debe llegar en el momento en que la barrera aparece, puesto que una corrección posterior no siempre repara la pérdida de aprendizaje. El avance puede examinarse mediante linaje de datos, permisos, transferencias, plazos de eliminación, errores corregidos y solicitudes atendidas Protección de datos debe participar desde el diseño y coordinarse con responsables académicos que comprenden el significado de la información. La comparación entre grupos debe proteger la privacidad y evitar categorías que reproduzcan estigmas.</w:t>
      </w:r>
    </w:p>
    <w:p w14:paraId="34D1BACC" w14:textId="2438A302" w:rsidR="002D33D8" w:rsidRPr="002D33D8" w:rsidRDefault="002D33D8" w:rsidP="00112430">
      <w:pPr>
        <w:pStyle w:val="Ttulo3"/>
        <w:rPr>
          <w:lang w:val="es-MX"/>
        </w:rPr>
      </w:pPr>
      <w:bookmarkStart w:id="151" w:name="_Toc239441008"/>
      <w:r w:rsidRPr="002D33D8">
        <w:rPr>
          <w:lang w:val="es-MX"/>
        </w:rPr>
        <w:t>Contratación, dependencia y supervisión humana</w:t>
      </w:r>
      <w:bookmarkEnd w:id="151"/>
    </w:p>
    <w:p w14:paraId="6CF7E12C" w14:textId="77777777" w:rsidR="002D33D8" w:rsidRPr="002D33D8" w:rsidRDefault="002D33D8" w:rsidP="002D33D8">
      <w:pPr>
        <w:rPr>
          <w:lang w:val="es-MX"/>
        </w:rPr>
      </w:pPr>
      <w:r w:rsidRPr="002D33D8">
        <w:rPr>
          <w:lang w:val="es-MX"/>
        </w:rPr>
        <w:t>Contratación y dependencia de proveedores. Los contratos determinan aspectos que una política pedagógica no puede corregir posteriormente la institución necesita conocer condiciones de entrenamiento, propiedad de entradas, seguridad, accesibilidad, subcontratación, portabilidad y cambios del servicio. En este ámbito, las condiciones materiales y las decisiones pedagógicas se refuerzan mutuamente y determinan la participación posible. La dependencia de un proveedor reduce capacidad de negociación y amenaza continuidad cuando aumentan precios o desaparecen funciones. La responsabilidad corresponde a la institución que selecciona y organiza el recurso, no solo a la persona que intenta adaptarse a él. La infraestructura de IA concentra poder y costos materiales que deben incorporarse a la decisión institucional (Crawford, 2021; UNESCO, 2023).</w:t>
      </w:r>
    </w:p>
    <w:p w14:paraId="7C86569B" w14:textId="77777777" w:rsidR="002D33D8" w:rsidRPr="002D33D8" w:rsidRDefault="002D33D8" w:rsidP="002D33D8">
      <w:pPr>
        <w:rPr>
          <w:lang w:val="es-MX"/>
        </w:rPr>
      </w:pPr>
      <w:r w:rsidRPr="002D33D8">
        <w:rPr>
          <w:lang w:val="es-MX"/>
        </w:rPr>
        <w:t xml:space="preserve">La respuesta institucional debe comenzar por incorporar requisitos verificables, derecho de auditoría, notificación de cambios, exportación y planes de salida La comunidad afectada debe intervenir antes de cerrar requisitos y disponer de capacidad efectiva para proponer cambios. El </w:t>
      </w:r>
      <w:r w:rsidRPr="002D33D8">
        <w:rPr>
          <w:lang w:val="es-MX"/>
        </w:rPr>
        <w:lastRenderedPageBreak/>
        <w:t>avance puede examinarse mediante cumplimiento contractual, costos totales, concentración, incidencias y facilidad de migración Compras, asesoría jurídica, tecnología y usuarios académicos deben evaluar conjuntamente el valor público de cada solución. Los resultados adquieren sentido cuando se interpretan junto con las personas que viven las barreras.</w:t>
      </w:r>
    </w:p>
    <w:p w14:paraId="48B581CD" w14:textId="77777777" w:rsidR="002D33D8" w:rsidRPr="002D33D8" w:rsidRDefault="002D33D8" w:rsidP="002D33D8">
      <w:pPr>
        <w:rPr>
          <w:lang w:val="es-MX"/>
        </w:rPr>
      </w:pPr>
      <w:r w:rsidRPr="002D33D8">
        <w:rPr>
          <w:lang w:val="es-MX"/>
        </w:rPr>
        <w:t>Supervisión humana significativa. La presencia de una persona no garantiza control real sobre una decisión automatizada la supervisión requiere comprender la recomendación, acceder a información pertinente y contar con autoridad y tiempo para apartarse de ella. El contexto convierte una misma función en apoyo para unas personas y en obstáculo para otras, por lo que las conclusiones generales necesitan contraste local. Una firma humana que confirma sistemáticamente la salida del sistema funciona como apariencia de responsabilidad. Una intervención apresurada corre el riesgo de digitalizar una exclusión previa y otorgarle una apariencia de eficiencia. La automatización puede utilizarse mal por exceso de confianza, desuso o aplicación fuera de contexto (Parasuraman &amp; Riley, 1997).</w:t>
      </w:r>
    </w:p>
    <w:p w14:paraId="76417B4C" w14:textId="77777777" w:rsidR="002D33D8" w:rsidRPr="002D33D8" w:rsidRDefault="002D33D8" w:rsidP="002D33D8">
      <w:pPr>
        <w:rPr>
          <w:lang w:val="es-MX"/>
        </w:rPr>
      </w:pPr>
      <w:r w:rsidRPr="002D33D8">
        <w:rPr>
          <w:lang w:val="es-MX"/>
        </w:rPr>
        <w:t>La respuesta institucional se concreta al definir competencias, umbrales, documentación y condiciones obligatorias de revisión o suspensión La información sobre el servicio debe presentarse en lenguaje claro y explicar tanto sus posibilidades como las condiciones en las que puede fallar. El avance puede examinarse mediante cambios tras revisión, desacuerdos razonados, errores evitados y recursos resueltos La institución debe proteger a quien cuestione una recomendación y evitar incentivos que premien la aceptación automática. La mejora continua requiere conservar memoria de los problemas y verificar que no reaparezcan en versiones posteriores.</w:t>
      </w:r>
    </w:p>
    <w:p w14:paraId="49240D0B" w14:textId="3A6A47A6" w:rsidR="002D33D8" w:rsidRPr="002D33D8" w:rsidRDefault="002D33D8" w:rsidP="006C6A4A">
      <w:pPr>
        <w:pStyle w:val="Ttulo3"/>
        <w:rPr>
          <w:lang w:val="es-MX"/>
        </w:rPr>
      </w:pPr>
      <w:bookmarkStart w:id="152" w:name="_Toc239441009"/>
      <w:r w:rsidRPr="002D33D8">
        <w:rPr>
          <w:lang w:val="es-MX"/>
        </w:rPr>
        <w:t>Participación, incidentes, auditoría y aprendizaje</w:t>
      </w:r>
      <w:bookmarkEnd w:id="152"/>
    </w:p>
    <w:p w14:paraId="07153159" w14:textId="77777777" w:rsidR="002D33D8" w:rsidRPr="002D33D8" w:rsidRDefault="002D33D8" w:rsidP="002D33D8">
      <w:pPr>
        <w:rPr>
          <w:lang w:val="es-MX"/>
        </w:rPr>
      </w:pPr>
      <w:r w:rsidRPr="002D33D8">
        <w:rPr>
          <w:lang w:val="es-MX"/>
        </w:rPr>
        <w:t>Participación y legitimidad. Las personas afectadas deben intervenir en la definición de problemas, criterios de éxito y salvaguardias estudiantes, docentes, personal y comunidades externas conocen impactos que no aparecen en las especificaciones técnicas. Una solución técnicamente disponible puede seguir siendo educativa y socialmente inaccesible si presupone recursos que no toda la comunidad posee. Una consulta realizada después de contratar convierte la participación en validación simbólica de una decisión ya tomada. La heterogeneidad de la comunidad universitaria requiere respuestas flexibles y evita considerar una única experiencia como norma. La gobernanza democrática fortalece la responsabilidad y ayuda a contextualizar principios generales (Mittelstadt, 2019; UNESCO, 2021).</w:t>
      </w:r>
    </w:p>
    <w:p w14:paraId="5312C859" w14:textId="77777777" w:rsidR="002D33D8" w:rsidRPr="002D33D8" w:rsidRDefault="002D33D8" w:rsidP="002D33D8">
      <w:pPr>
        <w:rPr>
          <w:lang w:val="es-MX"/>
        </w:rPr>
      </w:pPr>
      <w:r w:rsidRPr="002D33D8">
        <w:rPr>
          <w:lang w:val="es-MX"/>
        </w:rPr>
        <w:t xml:space="preserve">La respuesta institucional consiste en crear procesos accesibles de </w:t>
      </w:r>
      <w:proofErr w:type="spellStart"/>
      <w:r w:rsidRPr="002D33D8">
        <w:rPr>
          <w:lang w:val="es-MX"/>
        </w:rPr>
        <w:t>codiseño</w:t>
      </w:r>
      <w:proofErr w:type="spellEnd"/>
      <w:r w:rsidRPr="002D33D8">
        <w:rPr>
          <w:lang w:val="es-MX"/>
        </w:rPr>
        <w:t xml:space="preserve">, deliberación y publicación de respuestas institucionales La decisión necesita reflejarse en contratación, currículo, soporte y formación del personal para no depender de iniciativas aisladas. El avance puede examinarse mediante diversidad de participantes, cambios adoptados, disensos </w:t>
      </w:r>
      <w:r w:rsidRPr="002D33D8">
        <w:rPr>
          <w:lang w:val="es-MX"/>
        </w:rPr>
        <w:lastRenderedPageBreak/>
        <w:t>documentados y confianza Los órganos de gobierno deben explicar qué aportes se incorporaron y por qué otros no fueron aceptados. La evidencia resultante debe orientar ajustes y comunicarse de forma comprensible a la comunidad.</w:t>
      </w:r>
    </w:p>
    <w:p w14:paraId="129CCDD6" w14:textId="77777777" w:rsidR="002D33D8" w:rsidRPr="002D33D8" w:rsidRDefault="002D33D8" w:rsidP="002D33D8">
      <w:pPr>
        <w:rPr>
          <w:lang w:val="es-MX"/>
        </w:rPr>
      </w:pPr>
      <w:r w:rsidRPr="002D33D8">
        <w:rPr>
          <w:lang w:val="es-MX"/>
        </w:rPr>
        <w:t>Incidentes, reclamaciones y reparación. En educación superior, una organización responsable debe anticipar fallos y ofrecer vías sencillas para reportarlos los daños pueden incluir filtración de datos, discriminación, información falsa, bloqueo de servicios o afectación de una evaluación. El beneficio educativo depende tanto de la tecnología como de las normas, apoyos y relaciones humanas que organizan su utilización. Sin protocolo, las quejas circulan entre unidades y la persona perjudicada soporta la carga de reconstruir el caso. La innovación merece legitimidad cuando distribuye beneficios y riesgos de una manera que la comunidad puede conocer y discutir. El perfil de riesgo para IA generativa destaca la gestión de información falsa, privacidad, seguridad y efectos sistémicos (Autio et al., 2024).</w:t>
      </w:r>
    </w:p>
    <w:p w14:paraId="24913381" w14:textId="77777777" w:rsidR="002D33D8" w:rsidRPr="002D33D8" w:rsidRDefault="002D33D8" w:rsidP="002D33D8">
      <w:pPr>
        <w:rPr>
          <w:lang w:val="es-MX"/>
        </w:rPr>
      </w:pPr>
      <w:r w:rsidRPr="002D33D8">
        <w:rPr>
          <w:lang w:val="es-MX"/>
        </w:rPr>
        <w:t>La respuesta institucional requiere establecer canales accesibles, respuesta por severidad, preservación de evidencia y medidas de reparación Conviene probar la solución en contextos diversos, documentar sus límites y conservar una alternativa equivalente mientras se corrigen problemas. El avance puede examinarse mediante tiempo de detección, contención, comunicación, reincidencia y satisfacción con la solución Los incidentes deben alimentar cambios en formación, contratos, configuraciones y criterios de autorización. El seguimiento permite saber si el apoyo reduce la barrera o si simplemente desplaza el problema hacia otra etapa.</w:t>
      </w:r>
    </w:p>
    <w:p w14:paraId="7171AE82" w14:textId="77777777" w:rsidR="002D33D8" w:rsidRPr="002D33D8" w:rsidRDefault="002D33D8" w:rsidP="002D33D8">
      <w:pPr>
        <w:rPr>
          <w:lang w:val="es-MX"/>
        </w:rPr>
      </w:pPr>
      <w:r w:rsidRPr="002D33D8">
        <w:rPr>
          <w:lang w:val="es-MX"/>
        </w:rPr>
        <w:t>Auditoría, transparencia y aprendizaje. La rendición de cuentas necesita evidencia que pueda ser examinada por instancias distintas de quienes promueven el sistema las auditorías técnicas deben complementarse con análisis pedagógico, jurídico, distributivo y de experiencia de usuario. Desde un enfoque de derechos, la atención se desplaza de una supuesta insuficiencia personal hacia las barreras creadas por el entorno. Publicar una descripción comercial o una puntuación única no permite comprender límites ni consecuencias. La IA puede ofrecer mediaciones útiles, aunque también incorpora dependencias comerciales, incertidumbre y nuevas formas de clasificación. Las auditorías organizacionales de extremo a extremo ayudan a cerrar brechas de responsabilidad entre diseño y uso (Raji et al., 2020).</w:t>
      </w:r>
    </w:p>
    <w:p w14:paraId="3140987B" w14:textId="77777777" w:rsidR="002D33D8" w:rsidRPr="002D33D8" w:rsidRDefault="002D33D8" w:rsidP="002D33D8">
      <w:pPr>
        <w:rPr>
          <w:lang w:val="es-MX"/>
        </w:rPr>
      </w:pPr>
      <w:r w:rsidRPr="002D33D8">
        <w:rPr>
          <w:lang w:val="es-MX"/>
        </w:rPr>
        <w:t>La respuesta institucional debe comenzar por programar evaluaciones independientes, registros públicos y revisiones posteriores a la implementación El diseño debe combinar una base universal con ajustes específicos, de modo que la ayuda responda a barreras reales sin estigmatizar. El avance puede examinarse mediante hallazgos, acciones correctivas, reincidencias, beneficios demostrados y decisiones de retiro La transparencia debe proteger seguridad y privacidad sin convertirse en una excusa para ocultar información relevante. Así, la inclusión se convierte en un criterio previo de calidad y no en una reparación excepcional.</w:t>
      </w:r>
    </w:p>
    <w:p w14:paraId="79A8E607" w14:textId="2AFB5E78" w:rsidR="002D33D8" w:rsidRPr="002D33D8" w:rsidRDefault="002D33D8" w:rsidP="006C6A4A">
      <w:pPr>
        <w:pStyle w:val="Ttulo2"/>
        <w:rPr>
          <w:lang w:val="es-MX"/>
        </w:rPr>
      </w:pPr>
      <w:bookmarkStart w:id="153" w:name="_Toc239441010"/>
      <w:r w:rsidRPr="002D33D8">
        <w:rPr>
          <w:lang w:val="es-MX"/>
        </w:rPr>
        <w:lastRenderedPageBreak/>
        <w:t>Formación docente y liderazgo</w:t>
      </w:r>
      <w:bookmarkEnd w:id="153"/>
    </w:p>
    <w:p w14:paraId="5F8DA6BB" w14:textId="5005D6F1" w:rsidR="002D33D8" w:rsidRPr="002D33D8" w:rsidRDefault="002D33D8" w:rsidP="006C6A4A">
      <w:pPr>
        <w:pStyle w:val="Ttulo3"/>
        <w:rPr>
          <w:lang w:val="es-MX"/>
        </w:rPr>
      </w:pPr>
      <w:bookmarkStart w:id="154" w:name="_Toc239441011"/>
      <w:r w:rsidRPr="002D33D8">
        <w:rPr>
          <w:lang w:val="es-MX"/>
        </w:rPr>
        <w:t>Competencia profesional y rutas formativas por función</w:t>
      </w:r>
      <w:bookmarkEnd w:id="154"/>
    </w:p>
    <w:p w14:paraId="58424E71" w14:textId="77777777" w:rsidR="002D33D8" w:rsidRPr="002D33D8" w:rsidRDefault="002D33D8" w:rsidP="002D33D8">
      <w:pPr>
        <w:rPr>
          <w:lang w:val="es-MX"/>
        </w:rPr>
      </w:pPr>
      <w:r w:rsidRPr="002D33D8">
        <w:rPr>
          <w:lang w:val="es-MX"/>
        </w:rPr>
        <w:t xml:space="preserve">Competencia profesional integral. En educación superior, la formación en </w:t>
      </w:r>
      <w:proofErr w:type="spellStart"/>
      <w:r w:rsidRPr="002D33D8">
        <w:rPr>
          <w:lang w:val="es-MX"/>
        </w:rPr>
        <w:t>ia</w:t>
      </w:r>
      <w:proofErr w:type="spellEnd"/>
      <w:r w:rsidRPr="002D33D8">
        <w:rPr>
          <w:lang w:val="es-MX"/>
        </w:rPr>
        <w:t xml:space="preserve"> debe articular comprensión técnica, juicio ético, diseño pedagógico y capacidad de reflexión conocer una interfaz no basta para evaluar la calidad de una respuesta, explicar sus límites o decidir cuándo prescindir de ella. La experiencia concreta revela diferencias que suelen desaparecer cuando la institución observa únicamente cifras agregadas. Los talleres centrados en instrucciones de uso envejecen rápidamente y pueden aumentar una confianza injustificada. La ausencia de una queja no prueba que la experiencia sea inclusiva, pues solicitar ayuda también puede resultar difícil o estigmatizante. El marco de competencias docentes de </w:t>
      </w:r>
      <w:proofErr w:type="gramStart"/>
      <w:r w:rsidRPr="002D33D8">
        <w:rPr>
          <w:lang w:val="es-MX"/>
        </w:rPr>
        <w:t>UNESCO</w:t>
      </w:r>
      <w:proofErr w:type="gramEnd"/>
      <w:r w:rsidRPr="002D33D8">
        <w:rPr>
          <w:lang w:val="es-MX"/>
        </w:rPr>
        <w:t xml:space="preserve"> integra mentalidad centrada en el ser humano, ética, fundamentos, pedagogía y desarrollo profesional (Miao &amp; Cukurova, 2024).</w:t>
      </w:r>
    </w:p>
    <w:p w14:paraId="02C81E38" w14:textId="77777777" w:rsidR="002D33D8" w:rsidRPr="002D33D8" w:rsidRDefault="002D33D8" w:rsidP="002D33D8">
      <w:pPr>
        <w:rPr>
          <w:lang w:val="es-MX"/>
        </w:rPr>
      </w:pPr>
      <w:r w:rsidRPr="002D33D8">
        <w:rPr>
          <w:lang w:val="es-MX"/>
        </w:rPr>
        <w:t>La respuesta institucional requiere organizar la formación alrededor de problemas educativos, principios transferibles y práctica supervisada El apoyo debe llegar en el momento en que la barrera aparece, puesto que una corrección posterior no siempre repara la pérdida de aprendizaje. El avance puede examinarse mediante desempeño en tareas auténticas, calidad de verificación, decisiones justificadas y transferencia entre herramientas Las universidades deben reconocer niveles iniciales diversos y ofrecer trayectorias acumulativas. Una mejora demostrable combina desempeño técnico, experiencia de usuario y efectos educativos.</w:t>
      </w:r>
    </w:p>
    <w:p w14:paraId="523C03AA" w14:textId="77777777" w:rsidR="002D33D8" w:rsidRPr="002D33D8" w:rsidRDefault="002D33D8" w:rsidP="002D33D8">
      <w:pPr>
        <w:rPr>
          <w:lang w:val="es-MX"/>
        </w:rPr>
      </w:pPr>
      <w:r w:rsidRPr="002D33D8">
        <w:rPr>
          <w:lang w:val="es-MX"/>
        </w:rPr>
        <w:t>Diagnóstico y rutas por función. Las necesidades de un profesor, un bibliotecario, un investigador y un directivo no son idénticas cada función combina decisiones, datos y responsabilidades diferentes, aunque comparta una base común de alfabetización. Las barreras pueden ser permanentes, temporales o situacionales, y con frecuencia se acumulan durante una misma trayectoria académica. Una capacitación uniforme desperdicia tiempo y deja sin tratar riesgos específicos de evaluación, investigación o gestión. Los promedios institucionales pueden ocultar diferencias sistemáticas entre territorios, grupos y modalidades de estudio. La construcción de capacidad requiere integrar competencias generales con contextos concretos de práctica (OECD, 2023; UNESCO, 2021).</w:t>
      </w:r>
    </w:p>
    <w:p w14:paraId="636568E0" w14:textId="77777777" w:rsidR="002D33D8" w:rsidRDefault="002D33D8" w:rsidP="002D33D8">
      <w:pPr>
        <w:rPr>
          <w:lang w:val="es-MX"/>
        </w:rPr>
      </w:pPr>
      <w:r w:rsidRPr="002D33D8">
        <w:rPr>
          <w:lang w:val="es-MX"/>
        </w:rPr>
        <w:t>La respuesta institucional debe comenzar por definir un núcleo institucional y rutas especializadas por rol, disciplina y nivel de responsabilidad La comunidad afectada debe intervenir antes de cerrar requisitos y disponer de capacidad efectiva para proponer cambios. El avance puede examinarse mediante competencias demostradas, brechas por función, aplicación posterior y necesidades emergentes Recursos humanos y desarrollo académico deben actualizar los perfiles junto con las unidades profesionales. Este procedimiento permite abandonar soluciones ineficaces antes de que su uso se vuelva una obligación informal.</w:t>
      </w:r>
    </w:p>
    <w:p w14:paraId="05A8C61F" w14:textId="108F57FE" w:rsidR="00B43BA7" w:rsidRPr="002D33D8" w:rsidRDefault="009D544F" w:rsidP="002D33D8">
      <w:pPr>
        <w:rPr>
          <w:lang w:val="es-MX"/>
        </w:rPr>
      </w:pPr>
      <w:r>
        <w:rPr>
          <w:noProof/>
          <w:lang w:val="es-MX"/>
        </w:rPr>
        <w:lastRenderedPageBreak/>
        <w:drawing>
          <wp:inline distT="0" distB="0" distL="0" distR="0" wp14:anchorId="28852399" wp14:editId="662F5FA5">
            <wp:extent cx="5400675" cy="3600450"/>
            <wp:effectExtent l="0" t="0" r="9525" b="0"/>
            <wp:docPr id="9858130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44753B3B" w14:textId="6C7E48E5" w:rsidR="002D33D8" w:rsidRPr="002D33D8" w:rsidRDefault="002D33D8" w:rsidP="006C6A4A">
      <w:pPr>
        <w:pStyle w:val="Ttulo3"/>
        <w:rPr>
          <w:lang w:val="es-MX"/>
        </w:rPr>
      </w:pPr>
      <w:bookmarkStart w:id="155" w:name="_Toc239441012"/>
      <w:r w:rsidRPr="002D33D8">
        <w:rPr>
          <w:lang w:val="es-MX"/>
        </w:rPr>
        <w:t>Aprendizaje situado y comunidades de práctica</w:t>
      </w:r>
      <w:bookmarkEnd w:id="155"/>
    </w:p>
    <w:p w14:paraId="606E28D0" w14:textId="77777777" w:rsidR="002D33D8" w:rsidRPr="002D33D8" w:rsidRDefault="002D33D8" w:rsidP="002D33D8">
      <w:pPr>
        <w:rPr>
          <w:lang w:val="es-MX"/>
        </w:rPr>
      </w:pPr>
      <w:r w:rsidRPr="002D33D8">
        <w:rPr>
          <w:lang w:val="es-MX"/>
        </w:rPr>
        <w:t>Aprendizaje situado y experimentación segura. Los docentes aprenden mejor cuando prueban la IA en actividades relacionadas con sus cursos un entorno protegido permite comparar salidas, reconocer errores y rediseñar materiales sin exponer datos reales ni afectar calificaciones. El análisis debe considerar quién accede, desde qué entorno, con cuánto tiempo, a qué costo y con qué posibilidades de solicitar ayuda. La formación exclusivamente expositiva produce conocimiento declarativo que no siempre se convierte en mejores decisiones. El objetivo educativo debe mantenerse visible para impedir que las exigencias de la herramienta sustituyan los resultados de aprendizaje. La orientación para IA generativa recomienda experimentación informada, validación y protección de la agencia humana (Miao &amp; Holmes, 2023).</w:t>
      </w:r>
    </w:p>
    <w:p w14:paraId="7D20A05B" w14:textId="77777777" w:rsidR="002D33D8" w:rsidRPr="002D33D8" w:rsidRDefault="002D33D8" w:rsidP="002D33D8">
      <w:pPr>
        <w:rPr>
          <w:lang w:val="es-MX"/>
        </w:rPr>
      </w:pPr>
      <w:r w:rsidRPr="002D33D8">
        <w:rPr>
          <w:lang w:val="es-MX"/>
        </w:rPr>
        <w:t>La respuesta institucional se concreta al crear laboratorios pedagógicos, casos disciplinares y espacios controlados para prototipos La información sobre el servicio debe presentarse en lenguaje claro y explicar tanto sus posibilidades como las condiciones en las que puede fallar. El avance puede examinarse mediante cambios en diseño, problemas detectados, evidencia de aprendizaje y decisiones de no adopción Los facilitadores deben valorar tanto una aplicación responsable como el rechazo argumentado de una herramienta. La meta es ampliar capacidades y opciones reales, no alcanzar una cifra de adopción desvinculada del aprendizaje.</w:t>
      </w:r>
    </w:p>
    <w:p w14:paraId="67B4B95E" w14:textId="77777777" w:rsidR="002D33D8" w:rsidRPr="002D33D8" w:rsidRDefault="002D33D8" w:rsidP="002D33D8">
      <w:pPr>
        <w:rPr>
          <w:lang w:val="es-MX"/>
        </w:rPr>
      </w:pPr>
      <w:r w:rsidRPr="002D33D8">
        <w:rPr>
          <w:lang w:val="es-MX"/>
        </w:rPr>
        <w:t xml:space="preserve">Comunidades de práctica. El cambio sostenible se fortalece cuando el conocimiento circula entre pares las comunidades permiten compartir actividades, errores, estrategias de evaluación y criterios adaptados a diferentes disciplinas. En este ámbito, las condiciones materiales y las </w:t>
      </w:r>
      <w:r w:rsidRPr="002D33D8">
        <w:rPr>
          <w:lang w:val="es-MX"/>
        </w:rPr>
        <w:lastRenderedPageBreak/>
        <w:t>decisiones pedagógicas se refuerzan mutuamente y determinan la participación posible. Sin documentación, las soluciones permanecen en cursos aislados y se repiten los mismos problemas. El acceso significativo exige capacidad de elección y no solamente aceptación de las condiciones definidas por el proveedor. La integración educativa de IA necesita investigación pedagógica y colaboración, no solo disponibilidad tecnológica (Zawacki-Richter et al., 2019).</w:t>
      </w:r>
    </w:p>
    <w:p w14:paraId="1B384429" w14:textId="77777777" w:rsidR="002D33D8" w:rsidRPr="002D33D8" w:rsidRDefault="002D33D8" w:rsidP="002D33D8">
      <w:pPr>
        <w:rPr>
          <w:lang w:val="es-MX"/>
        </w:rPr>
      </w:pPr>
      <w:r w:rsidRPr="002D33D8">
        <w:rPr>
          <w:lang w:val="es-MX"/>
        </w:rPr>
        <w:t>La respuesta institucional consiste en apoyar redes de mentores, repositorios comentados, demostraciones y revisión entre colegas La decisión necesita reflejarse en contratación, currículo, soporte y formación del personal para no depender de iniciativas aisladas. El avance puede examinarse mediante participación, reutilización con adaptación, calidad de recursos y problemas resueltos colectivamente Los centros de docencia y las facultades deben asegurar moderación, reconocimiento y memoria institucional. La comparación entre grupos debe proteger la privacidad y evitar categorías que reproduzcan estigmas.</w:t>
      </w:r>
    </w:p>
    <w:p w14:paraId="589B99C8" w14:textId="077A1213" w:rsidR="002D33D8" w:rsidRPr="002D33D8" w:rsidRDefault="002D33D8" w:rsidP="00B80508">
      <w:pPr>
        <w:pStyle w:val="Ttulo3"/>
        <w:rPr>
          <w:lang w:val="es-MX"/>
        </w:rPr>
      </w:pPr>
      <w:bookmarkStart w:id="156" w:name="_Toc239441013"/>
      <w:r w:rsidRPr="002D33D8">
        <w:rPr>
          <w:lang w:val="es-MX"/>
        </w:rPr>
        <w:t>Tiempo, incentivos y liderazgo con criterio académico</w:t>
      </w:r>
      <w:bookmarkEnd w:id="156"/>
    </w:p>
    <w:p w14:paraId="64677308" w14:textId="77777777" w:rsidR="002D33D8" w:rsidRPr="002D33D8" w:rsidRDefault="002D33D8" w:rsidP="002D33D8">
      <w:pPr>
        <w:rPr>
          <w:lang w:val="es-MX"/>
        </w:rPr>
      </w:pPr>
      <w:r w:rsidRPr="002D33D8">
        <w:rPr>
          <w:lang w:val="es-MX"/>
        </w:rPr>
        <w:t>Tiempo, carga e incentivos. En educación superior, rediseñar una asignatura, verificar materiales y aprender nuevas herramientas exige trabajo si la institución presenta esa labor como iniciativa personal, la transformación depende de tiempo no remunerado y amplía desigualdades entre docentes. El contexto convierte una misma función en apoyo para unas personas y en obstáculo para otras, por lo que las conclusiones generales necesitan contraste local. Los incentivos orientados únicamente a cantidad de adopción favorecen usos superficiales y ocultan costos de mantenimiento. Las ventajas prometidas necesitan compararse con los costos de participación, privacidad, aprendizaje y soporte que soportan distintos grupos. La transformación digital eficaz depende de capacidad humana, condiciones organizacionales y liderazgo sostenido (OECD, 2023).</w:t>
      </w:r>
    </w:p>
    <w:p w14:paraId="6FB4F0E4" w14:textId="77777777" w:rsidR="002D33D8" w:rsidRPr="002D33D8" w:rsidRDefault="002D33D8" w:rsidP="002D33D8">
      <w:pPr>
        <w:rPr>
          <w:lang w:val="es-MX"/>
        </w:rPr>
      </w:pPr>
      <w:r w:rsidRPr="002D33D8">
        <w:rPr>
          <w:lang w:val="es-MX"/>
        </w:rPr>
        <w:t>La respuesta institucional requiere asignar tiempo, apoyo, reconocimiento y fondos competitivos vinculados con evidencia de calidad Conviene probar la solución en contextos diversos, documentar sus límites y conservar una alternativa equivalente mientras se corrigen problemas. El avance puede examinarse mediante carga reportada, permanencia de mejoras, distribución de apoyos y contribución a resultados La evaluación académica debe reconocer innovación responsable, recursos abiertos y acompañamiento a colegas. Los resultados adquieren sentido cuando se interpretan junto con las personas que viven las barreras.</w:t>
      </w:r>
    </w:p>
    <w:p w14:paraId="0B8A45C1" w14:textId="77777777" w:rsidR="002D33D8" w:rsidRPr="002D33D8" w:rsidRDefault="002D33D8" w:rsidP="002D33D8">
      <w:pPr>
        <w:rPr>
          <w:lang w:val="es-MX"/>
        </w:rPr>
      </w:pPr>
      <w:r w:rsidRPr="002D33D8">
        <w:rPr>
          <w:lang w:val="es-MX"/>
        </w:rPr>
        <w:t xml:space="preserve">Liderazgo con criterio académico. Los líderes necesitan formular preguntas antes que prometer respuestas tecnológicas deben distinguir tendencias de necesidades, interpretar incertidumbre y comunicar decisiones que pueden incluir límites o pausas. Una solución técnicamente disponible puede seguir siendo educativa y socialmente inaccesible si presupone recursos que no toda la comunidad posee. Una narrativa de inevitabilidad reduce deliberación y presiona a adoptar para </w:t>
      </w:r>
      <w:r w:rsidRPr="002D33D8">
        <w:rPr>
          <w:lang w:val="es-MX"/>
        </w:rPr>
        <w:lastRenderedPageBreak/>
        <w:t>no parecer rezagado. Las consecuencias deben analizarse durante todo el ciclo de vida, porque una actualización puede modificar costos, requisitos o accesibilidad. La IA responsable requiere liderazgo capaz de alinear innovación, valores y responsabilidad social (</w:t>
      </w:r>
      <w:proofErr w:type="spellStart"/>
      <w:r w:rsidRPr="002D33D8">
        <w:rPr>
          <w:lang w:val="es-MX"/>
        </w:rPr>
        <w:t>Dignum</w:t>
      </w:r>
      <w:proofErr w:type="spellEnd"/>
      <w:r w:rsidRPr="002D33D8">
        <w:rPr>
          <w:lang w:val="es-MX"/>
        </w:rPr>
        <w:t>, 2019).</w:t>
      </w:r>
    </w:p>
    <w:p w14:paraId="52A2B861" w14:textId="77777777" w:rsidR="002D33D8" w:rsidRPr="002D33D8" w:rsidRDefault="002D33D8" w:rsidP="002D33D8">
      <w:pPr>
        <w:rPr>
          <w:lang w:val="es-MX"/>
        </w:rPr>
      </w:pPr>
      <w:r w:rsidRPr="002D33D8">
        <w:rPr>
          <w:lang w:val="es-MX"/>
        </w:rPr>
        <w:t>La respuesta institucional debe comenzar por formar a autoridades en gobernanza, evaluación de evidencia, escenarios, contratación y comunicación de riesgos El diseño debe combinar una base universal con ajustes específicos, de modo que la ayuda responda a barreras reales sin estigmatizar. El avance puede examinarse mediante calidad de decisiones, coherencia presupuestaria, cumplimiento de compromisos y confianza comunitaria El liderazgo debe modelar transparencia sobre lo conocido, lo incierto y lo que la institución decide no hacer. La mejora continua requiere conservar memoria de los problemas y verificar que no reaparezcan en versiones posteriores.</w:t>
      </w:r>
    </w:p>
    <w:p w14:paraId="47885514" w14:textId="53C6CD06" w:rsidR="002D33D8" w:rsidRPr="002D33D8" w:rsidRDefault="002D33D8" w:rsidP="002D33D8">
      <w:pPr>
        <w:rPr>
          <w:lang w:val="es-MX"/>
        </w:rPr>
      </w:pPr>
      <w:r w:rsidRPr="002D33D8">
        <w:rPr>
          <w:b/>
          <w:bCs/>
          <w:lang w:val="es-MX"/>
        </w:rPr>
        <w:t xml:space="preserve">Tabla </w:t>
      </w:r>
      <w:r w:rsidR="00FA6F60">
        <w:rPr>
          <w:b/>
          <w:bCs/>
          <w:lang w:val="es-MX"/>
        </w:rPr>
        <w:t>7</w:t>
      </w:r>
      <w:r w:rsidRPr="002D33D8">
        <w:rPr>
          <w:b/>
          <w:bCs/>
          <w:lang w:val="es-MX"/>
        </w:rPr>
        <w:t>.2. Rutas de formación según función universitaria</w:t>
      </w:r>
    </w:p>
    <w:tbl>
      <w:tblPr>
        <w:tblStyle w:val="Tablanormal2"/>
        <w:tblW w:w="8392" w:type="dxa"/>
        <w:tblLook w:val="04A0" w:firstRow="1" w:lastRow="0" w:firstColumn="1" w:lastColumn="0" w:noHBand="0" w:noVBand="1"/>
      </w:tblPr>
      <w:tblGrid>
        <w:gridCol w:w="2098"/>
        <w:gridCol w:w="2098"/>
        <w:gridCol w:w="2098"/>
        <w:gridCol w:w="2098"/>
      </w:tblGrid>
      <w:tr w:rsidR="002D33D8" w:rsidRPr="002D33D8" w14:paraId="0012070F" w14:textId="77777777" w:rsidTr="00B80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434B30F" w14:textId="77777777" w:rsidR="002D33D8" w:rsidRPr="009B1662" w:rsidRDefault="002D33D8" w:rsidP="009B1662">
            <w:pPr>
              <w:spacing w:before="0" w:after="0" w:line="240" w:lineRule="auto"/>
              <w:jc w:val="center"/>
              <w:rPr>
                <w:sz w:val="20"/>
                <w:szCs w:val="20"/>
                <w:lang w:val="es-MX"/>
              </w:rPr>
            </w:pPr>
            <w:r w:rsidRPr="009B1662">
              <w:rPr>
                <w:sz w:val="20"/>
                <w:szCs w:val="20"/>
                <w:lang w:val="es-MX"/>
              </w:rPr>
              <w:t>Función</w:t>
            </w:r>
          </w:p>
        </w:tc>
        <w:tc>
          <w:tcPr>
            <w:tcW w:w="2098" w:type="dxa"/>
            <w:vAlign w:val="center"/>
            <w:hideMark/>
          </w:tcPr>
          <w:p w14:paraId="04C63BA4" w14:textId="77777777" w:rsidR="002D33D8" w:rsidRPr="009B1662" w:rsidRDefault="002D33D8" w:rsidP="009B166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Competencias prioritarias</w:t>
            </w:r>
          </w:p>
        </w:tc>
        <w:tc>
          <w:tcPr>
            <w:tcW w:w="2098" w:type="dxa"/>
            <w:vAlign w:val="center"/>
            <w:hideMark/>
          </w:tcPr>
          <w:p w14:paraId="43EAB95A" w14:textId="77777777" w:rsidR="002D33D8" w:rsidRPr="009B1662" w:rsidRDefault="002D33D8" w:rsidP="009B166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Práctica formativa</w:t>
            </w:r>
          </w:p>
        </w:tc>
        <w:tc>
          <w:tcPr>
            <w:tcW w:w="2098" w:type="dxa"/>
            <w:vAlign w:val="center"/>
            <w:hideMark/>
          </w:tcPr>
          <w:p w14:paraId="1ED58312" w14:textId="77777777" w:rsidR="002D33D8" w:rsidRPr="009B1662" w:rsidRDefault="002D33D8" w:rsidP="009B166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Evidencia</w:t>
            </w:r>
          </w:p>
        </w:tc>
      </w:tr>
      <w:tr w:rsidR="002D33D8" w:rsidRPr="002D33D8" w14:paraId="6C206F45" w14:textId="77777777" w:rsidTr="00B80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4EA582CB" w14:textId="77777777" w:rsidR="002D33D8" w:rsidRPr="009B1662" w:rsidRDefault="002D33D8" w:rsidP="009B1662">
            <w:pPr>
              <w:spacing w:before="0" w:after="0" w:line="240" w:lineRule="auto"/>
              <w:rPr>
                <w:sz w:val="20"/>
                <w:szCs w:val="20"/>
                <w:lang w:val="es-MX"/>
              </w:rPr>
            </w:pPr>
            <w:r w:rsidRPr="009B1662">
              <w:rPr>
                <w:sz w:val="20"/>
                <w:szCs w:val="20"/>
                <w:lang w:val="es-MX"/>
              </w:rPr>
              <w:t>Docencia</w:t>
            </w:r>
          </w:p>
        </w:tc>
        <w:tc>
          <w:tcPr>
            <w:tcW w:w="2098" w:type="dxa"/>
            <w:vAlign w:val="center"/>
            <w:hideMark/>
          </w:tcPr>
          <w:p w14:paraId="3E97965D"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Diseño pedagógico, evaluación e integridad</w:t>
            </w:r>
          </w:p>
        </w:tc>
        <w:tc>
          <w:tcPr>
            <w:tcW w:w="2098" w:type="dxa"/>
            <w:vAlign w:val="center"/>
            <w:hideMark/>
          </w:tcPr>
          <w:p w14:paraId="5870557C"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Rediseño de una actividad real</w:t>
            </w:r>
          </w:p>
        </w:tc>
        <w:tc>
          <w:tcPr>
            <w:tcW w:w="2098" w:type="dxa"/>
            <w:vAlign w:val="center"/>
            <w:hideMark/>
          </w:tcPr>
          <w:p w14:paraId="688C5EDF"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Producto, reflexión y retroalimentación</w:t>
            </w:r>
          </w:p>
        </w:tc>
      </w:tr>
      <w:tr w:rsidR="002D33D8" w:rsidRPr="002D33D8" w14:paraId="72E0B481" w14:textId="77777777" w:rsidTr="00B80508">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359973D" w14:textId="77777777" w:rsidR="002D33D8" w:rsidRPr="009B1662" w:rsidRDefault="002D33D8" w:rsidP="009B1662">
            <w:pPr>
              <w:spacing w:before="0" w:after="0" w:line="240" w:lineRule="auto"/>
              <w:rPr>
                <w:sz w:val="20"/>
                <w:szCs w:val="20"/>
                <w:lang w:val="es-MX"/>
              </w:rPr>
            </w:pPr>
            <w:r w:rsidRPr="009B1662">
              <w:rPr>
                <w:sz w:val="20"/>
                <w:szCs w:val="20"/>
                <w:lang w:val="es-MX"/>
              </w:rPr>
              <w:t>Investigación</w:t>
            </w:r>
          </w:p>
        </w:tc>
        <w:tc>
          <w:tcPr>
            <w:tcW w:w="2098" w:type="dxa"/>
            <w:vAlign w:val="center"/>
            <w:hideMark/>
          </w:tcPr>
          <w:p w14:paraId="0F0BCBAA"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Fuentes, análisis, reproducibilidad y autoría</w:t>
            </w:r>
          </w:p>
        </w:tc>
        <w:tc>
          <w:tcPr>
            <w:tcW w:w="2098" w:type="dxa"/>
            <w:vAlign w:val="center"/>
            <w:hideMark/>
          </w:tcPr>
          <w:p w14:paraId="5290FDB1"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Flujo verificable con datos o literatura</w:t>
            </w:r>
          </w:p>
        </w:tc>
        <w:tc>
          <w:tcPr>
            <w:tcW w:w="2098" w:type="dxa"/>
            <w:vAlign w:val="center"/>
            <w:hideMark/>
          </w:tcPr>
          <w:p w14:paraId="1F614D57"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Bitácora, código y declaración</w:t>
            </w:r>
          </w:p>
        </w:tc>
      </w:tr>
      <w:tr w:rsidR="002D33D8" w:rsidRPr="002D33D8" w14:paraId="674AC5B0" w14:textId="77777777" w:rsidTr="00B80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179B805" w14:textId="77777777" w:rsidR="002D33D8" w:rsidRPr="009B1662" w:rsidRDefault="002D33D8" w:rsidP="009B1662">
            <w:pPr>
              <w:spacing w:before="0" w:after="0" w:line="240" w:lineRule="auto"/>
              <w:rPr>
                <w:sz w:val="20"/>
                <w:szCs w:val="20"/>
                <w:lang w:val="es-MX"/>
              </w:rPr>
            </w:pPr>
            <w:r w:rsidRPr="009B1662">
              <w:rPr>
                <w:sz w:val="20"/>
                <w:szCs w:val="20"/>
                <w:lang w:val="es-MX"/>
              </w:rPr>
              <w:t>Gestión</w:t>
            </w:r>
          </w:p>
        </w:tc>
        <w:tc>
          <w:tcPr>
            <w:tcW w:w="2098" w:type="dxa"/>
            <w:vAlign w:val="center"/>
            <w:hideMark/>
          </w:tcPr>
          <w:p w14:paraId="259554BC"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Riesgo, datos, contratación y decisiones</w:t>
            </w:r>
          </w:p>
        </w:tc>
        <w:tc>
          <w:tcPr>
            <w:tcW w:w="2098" w:type="dxa"/>
            <w:vAlign w:val="center"/>
            <w:hideMark/>
          </w:tcPr>
          <w:p w14:paraId="6CE07D9F"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Evaluación de un caso institucional</w:t>
            </w:r>
          </w:p>
        </w:tc>
        <w:tc>
          <w:tcPr>
            <w:tcW w:w="2098" w:type="dxa"/>
            <w:vAlign w:val="center"/>
            <w:hideMark/>
          </w:tcPr>
          <w:p w14:paraId="7B4027FB" w14:textId="77777777" w:rsidR="002D33D8" w:rsidRPr="009B1662" w:rsidRDefault="002D33D8" w:rsidP="009B1662">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9B1662">
              <w:rPr>
                <w:sz w:val="20"/>
                <w:szCs w:val="20"/>
                <w:lang w:val="es-MX"/>
              </w:rPr>
              <w:t>Informe y decisión motivada</w:t>
            </w:r>
          </w:p>
        </w:tc>
      </w:tr>
      <w:tr w:rsidR="002D33D8" w:rsidRPr="002D33D8" w14:paraId="17499B66" w14:textId="77777777" w:rsidTr="00B80508">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A8ED45E" w14:textId="77777777" w:rsidR="002D33D8" w:rsidRPr="009B1662" w:rsidRDefault="002D33D8" w:rsidP="009B1662">
            <w:pPr>
              <w:spacing w:before="0" w:after="0" w:line="240" w:lineRule="auto"/>
              <w:rPr>
                <w:sz w:val="20"/>
                <w:szCs w:val="20"/>
                <w:lang w:val="es-MX"/>
              </w:rPr>
            </w:pPr>
            <w:r w:rsidRPr="009B1662">
              <w:rPr>
                <w:sz w:val="20"/>
                <w:szCs w:val="20"/>
                <w:lang w:val="es-MX"/>
              </w:rPr>
              <w:t>Apoyo académico</w:t>
            </w:r>
          </w:p>
        </w:tc>
        <w:tc>
          <w:tcPr>
            <w:tcW w:w="2098" w:type="dxa"/>
            <w:vAlign w:val="center"/>
            <w:hideMark/>
          </w:tcPr>
          <w:p w14:paraId="1475F56A"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Accesibilidad, orientación y escalamiento</w:t>
            </w:r>
          </w:p>
        </w:tc>
        <w:tc>
          <w:tcPr>
            <w:tcW w:w="2098" w:type="dxa"/>
            <w:vAlign w:val="center"/>
            <w:hideMark/>
          </w:tcPr>
          <w:p w14:paraId="0C54A021"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Atención de escenarios diversos</w:t>
            </w:r>
          </w:p>
        </w:tc>
        <w:tc>
          <w:tcPr>
            <w:tcW w:w="2098" w:type="dxa"/>
            <w:vAlign w:val="center"/>
            <w:hideMark/>
          </w:tcPr>
          <w:p w14:paraId="258FC371" w14:textId="77777777" w:rsidR="002D33D8" w:rsidRPr="009B1662" w:rsidRDefault="002D33D8" w:rsidP="009B1662">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9B1662">
              <w:rPr>
                <w:sz w:val="20"/>
                <w:szCs w:val="20"/>
                <w:lang w:val="es-MX"/>
              </w:rPr>
              <w:t>Prueba de servicio y derivación</w:t>
            </w:r>
          </w:p>
        </w:tc>
      </w:tr>
    </w:tbl>
    <w:p w14:paraId="7DDB4742" w14:textId="77777777" w:rsidR="002D33D8" w:rsidRPr="002D33D8" w:rsidRDefault="002D33D8" w:rsidP="002D33D8">
      <w:pPr>
        <w:rPr>
          <w:lang w:val="es-MX"/>
        </w:rPr>
      </w:pPr>
      <w:r w:rsidRPr="002D33D8">
        <w:rPr>
          <w:i/>
          <w:iCs/>
          <w:lang w:val="es-MX"/>
        </w:rPr>
        <w:t>Fuente: elaboración propia a partir de las referencias citadas en el apartado.</w:t>
      </w:r>
    </w:p>
    <w:p w14:paraId="60499973" w14:textId="2D87153A" w:rsidR="002D33D8" w:rsidRPr="002D33D8" w:rsidRDefault="002D33D8" w:rsidP="009B1662">
      <w:pPr>
        <w:pStyle w:val="Ttulo3"/>
        <w:rPr>
          <w:lang w:val="es-MX"/>
        </w:rPr>
      </w:pPr>
      <w:bookmarkStart w:id="157" w:name="_Toc239441014"/>
      <w:r w:rsidRPr="002D33D8">
        <w:rPr>
          <w:lang w:val="es-MX"/>
        </w:rPr>
        <w:t>Evaluación auténtica y alfabetización estudiantil</w:t>
      </w:r>
      <w:bookmarkEnd w:id="157"/>
    </w:p>
    <w:p w14:paraId="0290AEF7" w14:textId="77777777" w:rsidR="002D33D8" w:rsidRPr="002D33D8" w:rsidRDefault="002D33D8" w:rsidP="002D33D8">
      <w:pPr>
        <w:rPr>
          <w:lang w:val="es-MX"/>
        </w:rPr>
      </w:pPr>
      <w:r w:rsidRPr="002D33D8">
        <w:rPr>
          <w:lang w:val="es-MX"/>
        </w:rPr>
        <w:t>Rediseño de la evaluación. La formación docente debe incluir maneras de evaluar aprendizajes en contextos donde la IA es accesible las tareas centradas en producir una respuesta estándar son fáciles de externalizar y ofrecen poca evidencia del proceso intelectual. El beneficio educativo depende tanto de la tecnología como de las normas, apoyos y relaciones humanas que organizan su utilización. Responder únicamente con vigilancia o detectores poco fiables deteriora confianza y puede sancionar injustamente. Si esta desigualdad se atribuye al esfuerzo individual, la organización evita examinar las decisiones que producen o agravan la desventaja. La educación superior necesita adaptar evaluación e integridad a las capacidades generativas mediante diseño y diálogo (Cotton et al., 2024; Miao &amp; Holmes, 2023).</w:t>
      </w:r>
    </w:p>
    <w:p w14:paraId="0394F993" w14:textId="77777777" w:rsidR="002D33D8" w:rsidRPr="002D33D8" w:rsidRDefault="002D33D8" w:rsidP="002D33D8">
      <w:pPr>
        <w:rPr>
          <w:lang w:val="es-MX"/>
        </w:rPr>
      </w:pPr>
      <w:r w:rsidRPr="002D33D8">
        <w:rPr>
          <w:lang w:val="es-MX"/>
        </w:rPr>
        <w:t xml:space="preserve">La respuesta institucional se concreta al diseñar evaluaciones auténticas, etapas documentadas, defensa oral, retroalimentación y reglas explícitas de asistencia La medida ha de ofrecerse sin trámites innecesarios y sin obligar al estudiante a revelar repetidamente una condición sensible. </w:t>
      </w:r>
      <w:r w:rsidRPr="002D33D8">
        <w:rPr>
          <w:lang w:val="es-MX"/>
        </w:rPr>
        <w:lastRenderedPageBreak/>
        <w:t>El avance puede examinarse mediante validez, calidad del razonamiento, comprensión de reglas, carga y reclamaciones Los programas deben coordinar criterios sin eliminar la autonomía disciplinar necesaria para valorar desempeños distintos. La evidencia resultante debe orientar ajustes y comunicarse de forma comprensible a la comunidad.</w:t>
      </w:r>
    </w:p>
    <w:p w14:paraId="05372698" w14:textId="77777777" w:rsidR="002D33D8" w:rsidRPr="002D33D8" w:rsidRDefault="002D33D8" w:rsidP="002D33D8">
      <w:pPr>
        <w:rPr>
          <w:lang w:val="es-MX"/>
        </w:rPr>
      </w:pPr>
      <w:r w:rsidRPr="002D33D8">
        <w:rPr>
          <w:lang w:val="es-MX"/>
        </w:rPr>
        <w:t xml:space="preserve">Alfabetización estudiantil compartida. Los estudiantes son participantes de la gobernanza y no solo destinatarios de prohibiciones necesitan aprender a verificar, citar, proteger datos, reconocer sesgos y decidir cuándo una herramienta debilita su autonomía. Desde un enfoque de derechos, la atención se desplaza de una supuesta insuficiencia personal hacia las barreras creadas por el entorno. Las reglas implícitas varían entre asignaturas y generan incertidumbre incluso en quienes desean actuar responsablemente. La responsabilidad corresponde a la institución que selecciona y organiza el recurso, no solo a la persona que intenta adaptarse a él. El marco estudiantil de </w:t>
      </w:r>
      <w:proofErr w:type="gramStart"/>
      <w:r w:rsidRPr="002D33D8">
        <w:rPr>
          <w:lang w:val="es-MX"/>
        </w:rPr>
        <w:t>UNESCO</w:t>
      </w:r>
      <w:proofErr w:type="gramEnd"/>
      <w:r w:rsidRPr="002D33D8">
        <w:rPr>
          <w:lang w:val="es-MX"/>
        </w:rPr>
        <w:t xml:space="preserve"> organiza competencias alrededor de agencia humana, ética, técnicas y diseño de sistemas (Miao et al., 2024).</w:t>
      </w:r>
    </w:p>
    <w:p w14:paraId="2FD04371" w14:textId="77777777" w:rsidR="002D33D8" w:rsidRPr="002D33D8" w:rsidRDefault="002D33D8" w:rsidP="002D33D8">
      <w:pPr>
        <w:rPr>
          <w:lang w:val="es-MX"/>
        </w:rPr>
      </w:pPr>
      <w:r w:rsidRPr="002D33D8">
        <w:rPr>
          <w:lang w:val="es-MX"/>
        </w:rPr>
        <w:t>La respuesta institucional consiste en integrar competencias de IA en el currículo, orientar al inicio de cada curso e incluir estudiantes en el diseño de políticas Su aplicación requiere coordinar docencia, tecnología, bienestar, bibliotecas y gestión, pues ninguna unidad controla por sí sola toda la experiencia. El avance puede examinarse mediante comprensión, aplicación en trabajos, calidad de divulgación y participación en consultas Docentes, bibliotecas y organizaciones estudiantiles deben construir un lenguaje común. El seguimiento permite saber si el apoyo reduce la barrera o si simplemente desplaza el problema hacia otra etapa.</w:t>
      </w:r>
    </w:p>
    <w:p w14:paraId="63B81367" w14:textId="56A59F58" w:rsidR="002D33D8" w:rsidRPr="002D33D8" w:rsidRDefault="002D33D8" w:rsidP="008D01EE">
      <w:pPr>
        <w:pStyle w:val="Ttulo3"/>
        <w:rPr>
          <w:lang w:val="es-MX"/>
        </w:rPr>
      </w:pPr>
      <w:bookmarkStart w:id="158" w:name="_Toc239441015"/>
      <w:r w:rsidRPr="002D33D8">
        <w:rPr>
          <w:lang w:val="es-MX"/>
        </w:rPr>
        <w:t>Unidades de apoyo, evaluación y gestión del cambio</w:t>
      </w:r>
      <w:bookmarkEnd w:id="158"/>
    </w:p>
    <w:p w14:paraId="27CD490F" w14:textId="77777777" w:rsidR="002D33D8" w:rsidRPr="002D33D8" w:rsidRDefault="002D33D8" w:rsidP="002D33D8">
      <w:pPr>
        <w:rPr>
          <w:lang w:val="es-MX"/>
        </w:rPr>
      </w:pPr>
      <w:r w:rsidRPr="002D33D8">
        <w:rPr>
          <w:lang w:val="es-MX"/>
        </w:rPr>
        <w:t>Bibliotecas y unidades de apoyo. En educación superior, las bibliotecas, centros de escritura, tecnologías y servicios de inclusión poseen capacidades complementarias pueden apoyar búsqueda, citación, privacidad, accesibilidad, evaluación de fuentes y elección de herramientas. La cuestión central consiste en saber si el diseño amplía opciones reales o si obliga a todos a ajustarse a un usuario idealizado. Si cada servicio opera separado, el estudiante recibe respuestas contradictorias y el docente no sabe dónde derivar un problema. Una intervención apresurada corre el riesgo de digitalizar una exclusión previa y otorgarle una apariencia de eficiencia. La alfabetización informacional ofrece una base para comprender autoridad, creación de información y búsqueda estratégica (</w:t>
      </w:r>
      <w:proofErr w:type="spellStart"/>
      <w:r w:rsidRPr="002D33D8">
        <w:rPr>
          <w:lang w:val="es-MX"/>
        </w:rPr>
        <w:t>Association</w:t>
      </w:r>
      <w:proofErr w:type="spellEnd"/>
      <w:r w:rsidRPr="002D33D8">
        <w:rPr>
          <w:lang w:val="es-MX"/>
        </w:rPr>
        <w:t xml:space="preserve"> </w:t>
      </w:r>
      <w:proofErr w:type="spellStart"/>
      <w:r w:rsidRPr="002D33D8">
        <w:rPr>
          <w:lang w:val="es-MX"/>
        </w:rPr>
        <w:t>of</w:t>
      </w:r>
      <w:proofErr w:type="spellEnd"/>
      <w:r w:rsidRPr="002D33D8">
        <w:rPr>
          <w:lang w:val="es-MX"/>
        </w:rPr>
        <w:t xml:space="preserve"> College and </w:t>
      </w:r>
      <w:proofErr w:type="spellStart"/>
      <w:r w:rsidRPr="002D33D8">
        <w:rPr>
          <w:lang w:val="es-MX"/>
        </w:rPr>
        <w:t>Research</w:t>
      </w:r>
      <w:proofErr w:type="spellEnd"/>
      <w:r w:rsidRPr="002D33D8">
        <w:rPr>
          <w:lang w:val="es-MX"/>
        </w:rPr>
        <w:t xml:space="preserve"> </w:t>
      </w:r>
      <w:proofErr w:type="spellStart"/>
      <w:r w:rsidRPr="002D33D8">
        <w:rPr>
          <w:lang w:val="es-MX"/>
        </w:rPr>
        <w:t>Libraries</w:t>
      </w:r>
      <w:proofErr w:type="spellEnd"/>
      <w:r w:rsidRPr="002D33D8">
        <w:rPr>
          <w:lang w:val="es-MX"/>
        </w:rPr>
        <w:t>, 2016).</w:t>
      </w:r>
    </w:p>
    <w:p w14:paraId="09789AD8" w14:textId="77777777" w:rsidR="002D33D8" w:rsidRPr="002D33D8" w:rsidRDefault="002D33D8" w:rsidP="002D33D8">
      <w:pPr>
        <w:rPr>
          <w:lang w:val="es-MX"/>
        </w:rPr>
      </w:pPr>
      <w:r w:rsidRPr="002D33D8">
        <w:rPr>
          <w:lang w:val="es-MX"/>
        </w:rPr>
        <w:t xml:space="preserve">La respuesta institucional requiere crear una red coordinada de consulta con guías comunes, especialización y escalamiento La acción debe incorporarse a la planificación ordinaria, con presupuesto, responsables, plazos y una vía accesible para comunicar dificultades. El avance puede examinarse mediante tiempos de respuesta, consistencia, uso de servicios y resolución en el primer contacto La coordinación debe conservar la experiencia profesional de cada unidad y </w:t>
      </w:r>
      <w:r w:rsidRPr="002D33D8">
        <w:rPr>
          <w:lang w:val="es-MX"/>
        </w:rPr>
        <w:lastRenderedPageBreak/>
        <w:t>evitar convertir todo problema en una incidencia técnica. Así, la inclusión se convierte en un criterio previo de calidad y no en una reparación excepcional.</w:t>
      </w:r>
    </w:p>
    <w:p w14:paraId="72D91480" w14:textId="77777777" w:rsidR="002D33D8" w:rsidRPr="002D33D8" w:rsidRDefault="002D33D8" w:rsidP="002D33D8">
      <w:pPr>
        <w:rPr>
          <w:lang w:val="es-MX"/>
        </w:rPr>
      </w:pPr>
      <w:r w:rsidRPr="002D33D8">
        <w:rPr>
          <w:lang w:val="es-MX"/>
        </w:rPr>
        <w:t>Evaluación de la formación. La cantidad de asistentes no demuestra que una capacitación haya mejorado la práctica la evaluación debe observar cambios en decisiones, actividades, seguridad, inclusión y aprendizaje de los estudiantes. La disponibilidad formal, por sí sola, no demuestra que el recurso pueda utilizarse de manera continua, autónoma y académicamente provechosa. Las encuestas de satisfacción realizadas al final favorecen impresiones inmediatas y no muestran transferencia ni efectos no previstos. La heterogeneidad de la comunidad universitaria requiere respuestas flexibles y evita considerar una única experiencia como norma. Una política basada en evidencia aprende de la implementación y revisa sus supuestos en lugar de declarar éxito por adopción (OECD, 2023).</w:t>
      </w:r>
    </w:p>
    <w:p w14:paraId="0CF47002" w14:textId="77777777" w:rsidR="002D33D8" w:rsidRPr="002D33D8" w:rsidRDefault="002D33D8" w:rsidP="002D33D8">
      <w:pPr>
        <w:rPr>
          <w:lang w:val="es-MX"/>
        </w:rPr>
      </w:pPr>
      <w:r w:rsidRPr="002D33D8">
        <w:rPr>
          <w:lang w:val="es-MX"/>
        </w:rPr>
        <w:t>La respuesta institucional debe comenzar por combinar demostraciones, análisis de productos, observación, seguimiento y retroalimentación estudiantil El criterio tiene que formar parte de la garantía de calidad y ser exigible a unidades internas y proveedores externos. El avance puede examinarse mediante competencias antes y después, aplicación sostenida, errores evitados y necesidades nuevas Los resultados deben modificar la oferta formativa, los apoyos y las expectativas institucionales. La revisión periódica protege la dignidad y distribuye institucionalmente la responsabilidad por los resultados.</w:t>
      </w:r>
    </w:p>
    <w:p w14:paraId="1879B9CC" w14:textId="77777777" w:rsidR="002D33D8" w:rsidRPr="002D33D8" w:rsidRDefault="002D33D8" w:rsidP="002D33D8">
      <w:pPr>
        <w:rPr>
          <w:lang w:val="es-MX"/>
        </w:rPr>
      </w:pPr>
      <w:r w:rsidRPr="002D33D8">
        <w:rPr>
          <w:lang w:val="es-MX"/>
        </w:rPr>
        <w:t>Gestión del cambio y confianza. La adopción de IA transforma identidades profesionales, relaciones y expectativas sobre el trabajo universitario algunas personas sienten entusiasmo, otras preocupación por vigilancia, reemplazo o pérdida de criterio. La equidad exige valorar el recorrido completo y no solo confirmar que existe una cuenta, una aplicación o un punto de conexión. Descalificar las dudas como resistencia impide reconocer riesgos legítimos y alimenta usos ocultos. La innovación merece legitimidad cuando distribuye beneficios y riesgos de una manera que la comunidad puede conocer y discutir. La confianza en sistemas sociotécnicos se construye mediante competencia, transparencia y posibilidad de cuestionamiento (</w:t>
      </w:r>
      <w:proofErr w:type="spellStart"/>
      <w:r w:rsidRPr="002D33D8">
        <w:rPr>
          <w:lang w:val="es-MX"/>
        </w:rPr>
        <w:t>Floridi</w:t>
      </w:r>
      <w:proofErr w:type="spellEnd"/>
      <w:r w:rsidRPr="002D33D8">
        <w:rPr>
          <w:lang w:val="es-MX"/>
        </w:rPr>
        <w:t xml:space="preserve"> et al., 2018; UNESCO, 2021).</w:t>
      </w:r>
    </w:p>
    <w:p w14:paraId="10D97C03" w14:textId="77777777" w:rsidR="002D33D8" w:rsidRDefault="002D33D8" w:rsidP="002D33D8">
      <w:pPr>
        <w:rPr>
          <w:lang w:val="es-MX"/>
        </w:rPr>
      </w:pPr>
      <w:r w:rsidRPr="002D33D8">
        <w:rPr>
          <w:lang w:val="es-MX"/>
        </w:rPr>
        <w:t>La respuesta institucional se concreta al comunicar propósitos, abrir deliberación, proteger espacios de prueba y responder con hechos a preocupaciones La puesta en práctica necesita reglas de escalamiento para que los problemas repetidos se conviertan en mejoras del sistema. El avance puede examinarse mediante confianza, comprensión de decisiones, participación voluntaria y motivos de no uso Los líderes deben aceptar ritmos diferentes y demostrar que la comunidad conserva capacidad de influir. Los hallazgos deben vincularse con decisiones presupuestarias y no limitarse a un informe descriptivo.</w:t>
      </w:r>
    </w:p>
    <w:p w14:paraId="28A51F49" w14:textId="1E4706A2" w:rsidR="00A9517E" w:rsidRPr="002D33D8" w:rsidRDefault="00A9517E" w:rsidP="002D33D8">
      <w:pPr>
        <w:rPr>
          <w:lang w:val="es-MX"/>
        </w:rPr>
      </w:pPr>
    </w:p>
    <w:p w14:paraId="02773BB6" w14:textId="60E39ACC" w:rsidR="002D33D8" w:rsidRPr="002D33D8" w:rsidRDefault="002D33D8" w:rsidP="008D01EE">
      <w:pPr>
        <w:pStyle w:val="Ttulo2"/>
        <w:rPr>
          <w:lang w:val="es-MX"/>
        </w:rPr>
      </w:pPr>
      <w:bookmarkStart w:id="159" w:name="_Toc239441016"/>
      <w:r w:rsidRPr="002D33D8">
        <w:rPr>
          <w:lang w:val="es-MX"/>
        </w:rPr>
        <w:lastRenderedPageBreak/>
        <w:t>Marcos de uso responsable</w:t>
      </w:r>
      <w:bookmarkEnd w:id="159"/>
    </w:p>
    <w:p w14:paraId="333A6692" w14:textId="556E9B7F" w:rsidR="002D33D8" w:rsidRDefault="002D33D8" w:rsidP="008D01EE">
      <w:pPr>
        <w:pStyle w:val="Ttulo3"/>
        <w:rPr>
          <w:lang w:val="es-MX"/>
        </w:rPr>
      </w:pPr>
      <w:bookmarkStart w:id="160" w:name="_Toc239441017"/>
      <w:r w:rsidRPr="002D33D8">
        <w:rPr>
          <w:lang w:val="es-MX"/>
        </w:rPr>
        <w:t>Política orientadora, revisable y basada en categorías</w:t>
      </w:r>
      <w:bookmarkEnd w:id="160"/>
    </w:p>
    <w:p w14:paraId="6127FCC0" w14:textId="5AD359AF" w:rsidR="00FA6F60" w:rsidRPr="00FA6F60" w:rsidRDefault="00FA6F60" w:rsidP="00FA6F60">
      <w:pPr>
        <w:rPr>
          <w:lang w:val="es-MX"/>
        </w:rPr>
      </w:pPr>
      <w:r>
        <w:rPr>
          <w:noProof/>
          <w:lang w:val="es-MX"/>
        </w:rPr>
        <w:drawing>
          <wp:inline distT="0" distB="0" distL="0" distR="0" wp14:anchorId="68DFC374" wp14:editId="563219B8">
            <wp:extent cx="5400675" cy="3600450"/>
            <wp:effectExtent l="0" t="0" r="9525" b="0"/>
            <wp:docPr id="107877724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00675" cy="3600450"/>
                    </a:xfrm>
                    <a:prstGeom prst="rect">
                      <a:avLst/>
                    </a:prstGeom>
                    <a:noFill/>
                    <a:ln>
                      <a:noFill/>
                    </a:ln>
                  </pic:spPr>
                </pic:pic>
              </a:graphicData>
            </a:graphic>
          </wp:inline>
        </w:drawing>
      </w:r>
    </w:p>
    <w:p w14:paraId="627DC462" w14:textId="77777777" w:rsidR="002D33D8" w:rsidRPr="002D33D8" w:rsidRDefault="002D33D8" w:rsidP="002D33D8">
      <w:pPr>
        <w:rPr>
          <w:lang w:val="es-MX"/>
        </w:rPr>
      </w:pPr>
      <w:r w:rsidRPr="002D33D8">
        <w:rPr>
          <w:lang w:val="es-MX"/>
        </w:rPr>
        <w:t>Política orientadora y revisable. Un marco de uso responsable debe ayudar a decidir en situaciones nuevas las reglas centradas en marcas o versiones quedan obsoletas cuando cambian las funciones y aparecen herramientas integradas. En este ámbito, las condiciones materiales y las decisiones pedagógicas se refuerzan mutuamente y determinan la participación posible. Una prohibición general puede desplazar el uso hacia espacios invisibles, mientras una autorización sin límites normaliza riesgos. La IA puede ofrecer mediaciones útiles, aunque también incorpora dependencias comerciales, incertidumbre y nuevas formas de clasificación. Los principios adquieren utilidad cuando se traducen en procedimientos, incentivos y mecanismos de responsabilidad (Mittelstadt, 2019).</w:t>
      </w:r>
    </w:p>
    <w:p w14:paraId="0DE3D02D" w14:textId="77777777" w:rsidR="002D33D8" w:rsidRPr="002D33D8" w:rsidRDefault="002D33D8" w:rsidP="002D33D8">
      <w:pPr>
        <w:rPr>
          <w:lang w:val="es-MX"/>
        </w:rPr>
      </w:pPr>
      <w:r w:rsidRPr="002D33D8">
        <w:rPr>
          <w:lang w:val="es-MX"/>
        </w:rPr>
        <w:t>La respuesta institucional debe comenzar por definir principios, finalidades, categorías de uso, responsabilidades y fechas de revisión El diseño debe combinar una base universal con ajustes específicos, de modo que la ayuda responda a barreras reales sin estigmatizar. El avance puede examinarse mediante consultas resueltas, coherencia entre unidades, excepciones y ajustes por evidencia La política debe indicar quién interpreta casos dudosos y cómo la comunidad propone modificaciones. La meta es ampliar capacidades y opciones reales, no alcanzar una cifra de adopción desvinculada del aprendizaje.</w:t>
      </w:r>
    </w:p>
    <w:p w14:paraId="77B60963" w14:textId="77777777" w:rsidR="002D33D8" w:rsidRPr="002D33D8" w:rsidRDefault="002D33D8" w:rsidP="002D33D8">
      <w:pPr>
        <w:rPr>
          <w:lang w:val="es-MX"/>
        </w:rPr>
      </w:pPr>
      <w:r w:rsidRPr="002D33D8">
        <w:rPr>
          <w:lang w:val="es-MX"/>
        </w:rPr>
        <w:t xml:space="preserve">Usos permitidos, condicionados y no aceptables. La comunidad necesita ejemplos concretos que conecten el nivel de riesgo con las salvaguardias generar ideas, traducir un borrador o analizar </w:t>
      </w:r>
      <w:r w:rsidRPr="002D33D8">
        <w:rPr>
          <w:lang w:val="es-MX"/>
        </w:rPr>
        <w:lastRenderedPageBreak/>
        <w:t>datos sensibles plantean obligaciones diferentes. El contexto convierte una misma función en apoyo para unas personas y en obstáculo para otras, por lo que las conclusiones generales necesitan contraste local. Las expresiones vagas como uso ético trasladan toda interpretación al individuo y producen respuestas inconsistentes. La ausencia de una queja no prueba que la experiencia sea inclusiva, pues solicitar ayuda también puede resultar difícil o estigmatizante. El enfoque basado en riesgo permite graduar obligaciones según impacto, contexto y capacidad de daño (</w:t>
      </w:r>
      <w:proofErr w:type="spellStart"/>
      <w:r w:rsidRPr="002D33D8">
        <w:rPr>
          <w:lang w:val="es-MX"/>
        </w:rPr>
        <w:t>European</w:t>
      </w:r>
      <w:proofErr w:type="spellEnd"/>
      <w:r w:rsidRPr="002D33D8">
        <w:rPr>
          <w:lang w:val="es-MX"/>
        </w:rPr>
        <w:t xml:space="preserve"> Parliament &amp; Council </w:t>
      </w:r>
      <w:proofErr w:type="spellStart"/>
      <w:r w:rsidRPr="002D33D8">
        <w:rPr>
          <w:lang w:val="es-MX"/>
        </w:rPr>
        <w:t>of</w:t>
      </w:r>
      <w:proofErr w:type="spellEnd"/>
      <w:r w:rsidRPr="002D33D8">
        <w:rPr>
          <w:lang w:val="es-MX"/>
        </w:rPr>
        <w:t xml:space="preserve"> </w:t>
      </w:r>
      <w:proofErr w:type="spellStart"/>
      <w:r w:rsidRPr="002D33D8">
        <w:rPr>
          <w:lang w:val="es-MX"/>
        </w:rPr>
        <w:t>the</w:t>
      </w:r>
      <w:proofErr w:type="spellEnd"/>
      <w:r w:rsidRPr="002D33D8">
        <w:rPr>
          <w:lang w:val="es-MX"/>
        </w:rPr>
        <w:t xml:space="preserve"> </w:t>
      </w:r>
      <w:proofErr w:type="spellStart"/>
      <w:r w:rsidRPr="002D33D8">
        <w:rPr>
          <w:lang w:val="es-MX"/>
        </w:rPr>
        <w:t>European</w:t>
      </w:r>
      <w:proofErr w:type="spellEnd"/>
      <w:r w:rsidRPr="002D33D8">
        <w:rPr>
          <w:lang w:val="es-MX"/>
        </w:rPr>
        <w:t xml:space="preserve"> Union, 2024; Tabassi, 2023).</w:t>
      </w:r>
    </w:p>
    <w:p w14:paraId="1D932044" w14:textId="77777777" w:rsidR="002D33D8" w:rsidRPr="002D33D8" w:rsidRDefault="002D33D8" w:rsidP="002D33D8">
      <w:pPr>
        <w:rPr>
          <w:lang w:val="es-MX"/>
        </w:rPr>
      </w:pPr>
      <w:r w:rsidRPr="002D33D8">
        <w:rPr>
          <w:lang w:val="es-MX"/>
        </w:rPr>
        <w:t>La respuesta institucional se concreta al publicar una matriz de casos con propósito, datos autorizados, revisión humana y documentación exigida La medida ha de ofrecerse sin trámites innecesarios y sin obligar al estudiante a revelar repetidamente una condición sensible. El avance puede examinarse mediante comprensión de categorías, consultas, incumplimientos involuntarios y actualización de ejemplos Las facultades pueden adaptar casos disciplinares siempre que respeten un núcleo institucional común. La comparación entre grupos debe proteger la privacidad y evitar categorías que reproduzcan estigmas.</w:t>
      </w:r>
    </w:p>
    <w:p w14:paraId="30498993" w14:textId="665875DD" w:rsidR="002D33D8" w:rsidRPr="002D33D8" w:rsidRDefault="002D33D8" w:rsidP="008D01EE">
      <w:pPr>
        <w:pStyle w:val="Ttulo3"/>
        <w:rPr>
          <w:lang w:val="es-MX"/>
        </w:rPr>
      </w:pPr>
      <w:bookmarkStart w:id="161" w:name="_Toc239441018"/>
      <w:r w:rsidRPr="002D33D8">
        <w:rPr>
          <w:lang w:val="es-MX"/>
        </w:rPr>
        <w:t>Transparencia, integridad, autoría y contribución humana</w:t>
      </w:r>
      <w:bookmarkEnd w:id="161"/>
    </w:p>
    <w:p w14:paraId="102FA113" w14:textId="77777777" w:rsidR="002D33D8" w:rsidRPr="002D33D8" w:rsidRDefault="002D33D8" w:rsidP="002D33D8">
      <w:pPr>
        <w:rPr>
          <w:lang w:val="es-MX"/>
        </w:rPr>
      </w:pPr>
      <w:r w:rsidRPr="002D33D8">
        <w:rPr>
          <w:lang w:val="es-MX"/>
        </w:rPr>
        <w:t>Transparencia sobre la asistencia. La divulgación permite valorar la contribución humana y reconstruir cómo se obtuvo un resultado su forma debe ser proporcional, desde una nota breve sobre corrección lingüística hasta una descripción de herramientas, versiones, instrucciones y verificación. Una solución técnicamente disponible puede seguir siendo educativa y socialmente inaccesible si presupone recursos que no toda la comunidad posee. Exigir registros exhaustivos para tareas menores genera cumplimiento ritual, pero omitir información relevante debilita autoría y reproducibilidad. Los promedios institucionales pueden ocultar diferencias sistemáticas entre territorios, grupos y modalidades de estudio. La orientación internacional recomienda transparencia sobre usos de IA generativa en educación e investigación (Miao &amp; Holmes, 2023).</w:t>
      </w:r>
    </w:p>
    <w:p w14:paraId="0E43131F" w14:textId="77777777" w:rsidR="002D33D8" w:rsidRPr="002D33D8" w:rsidRDefault="002D33D8" w:rsidP="002D33D8">
      <w:pPr>
        <w:rPr>
          <w:lang w:val="es-MX"/>
        </w:rPr>
      </w:pPr>
      <w:r w:rsidRPr="002D33D8">
        <w:rPr>
          <w:lang w:val="es-MX"/>
        </w:rPr>
        <w:t>La respuesta institucional consiste en definir niveles de declaración según la influencia de la IA en contenido, método y decisión Su aplicación requiere coordinar docencia, tecnología, bienestar, bibliotecas y gestión, pues ninguna unidad controla por sí sola toda la experiencia. El avance puede examinarse mediante calidad de declaraciones, capacidad de reconstrucción, comprensión de autores y revisores Revistas, cursos y proyectos deben alinear expectativas para evitar reglas incompatibles. Los resultados adquieren sentido cuando se interpretan junto con las personas que viven las barreras.</w:t>
      </w:r>
    </w:p>
    <w:p w14:paraId="3E414F19" w14:textId="77777777" w:rsidR="002D33D8" w:rsidRPr="002D33D8" w:rsidRDefault="002D33D8" w:rsidP="002D33D8">
      <w:pPr>
        <w:rPr>
          <w:lang w:val="es-MX"/>
        </w:rPr>
      </w:pPr>
      <w:r w:rsidRPr="002D33D8">
        <w:rPr>
          <w:lang w:val="es-MX"/>
        </w:rPr>
        <w:t xml:space="preserve">Integridad y autoría. En educación superior, la responsabilidad por un trabajo académico permanece en la persona que lo presenta un sistema no puede asumir autoría porque no responde por exactitud, consentimiento, conflictos de interés ni consecuencias. El beneficio educativo depende tanto de la tecnología como de las normas, apoyos y relaciones humanas que organizan </w:t>
      </w:r>
      <w:r w:rsidRPr="002D33D8">
        <w:rPr>
          <w:lang w:val="es-MX"/>
        </w:rPr>
        <w:lastRenderedPageBreak/>
        <w:t xml:space="preserve">su utilización. Delegar razonamiento sustantivo sin reconocerlo afecta la validez de la evaluación y la confianza en la producción científica. El objetivo educativo debe mantenerse visible para impedir que las exigencias de la herramienta sustituyan los resultados de aprendizaje. La integridad académica se sostiene en honestidad, confianza, equidad, respeto, responsabilidad y valentía (International Center </w:t>
      </w:r>
      <w:proofErr w:type="spellStart"/>
      <w:r w:rsidRPr="002D33D8">
        <w:rPr>
          <w:lang w:val="es-MX"/>
        </w:rPr>
        <w:t>for</w:t>
      </w:r>
      <w:proofErr w:type="spellEnd"/>
      <w:r w:rsidRPr="002D33D8">
        <w:rPr>
          <w:lang w:val="es-MX"/>
        </w:rPr>
        <w:t xml:space="preserve"> </w:t>
      </w:r>
      <w:proofErr w:type="spellStart"/>
      <w:r w:rsidRPr="002D33D8">
        <w:rPr>
          <w:lang w:val="es-MX"/>
        </w:rPr>
        <w:t>Academic</w:t>
      </w:r>
      <w:proofErr w:type="spellEnd"/>
      <w:r w:rsidRPr="002D33D8">
        <w:rPr>
          <w:lang w:val="es-MX"/>
        </w:rPr>
        <w:t xml:space="preserve"> Integrity, 2021).</w:t>
      </w:r>
    </w:p>
    <w:p w14:paraId="6A844CD1" w14:textId="77777777" w:rsidR="002D33D8" w:rsidRPr="002D33D8" w:rsidRDefault="002D33D8" w:rsidP="002D33D8">
      <w:pPr>
        <w:rPr>
          <w:lang w:val="es-MX"/>
        </w:rPr>
      </w:pPr>
      <w:r w:rsidRPr="002D33D8">
        <w:rPr>
          <w:lang w:val="es-MX"/>
        </w:rPr>
        <w:t>La respuesta institucional requiere explicar contribuciones permitidas, conservar evidencia del proceso y evaluar comprensión del contenido La acción debe incorporarse a la planificación ordinaria, con presupuesto, responsables, plazos y una vía accesible para comunicar dificultades. El avance puede examinarse mediante correspondencia entre reglas y tareas, calidad de atribución, defensa de decisiones y casos resueltos Las respuestas deben ser educativas y proporcionales, con procedimientos claros para investigar posibles incumplimientos. La mejora continua requiere conservar memoria de los problemas y verificar que no reaparezcan en versiones posteriores.</w:t>
      </w:r>
    </w:p>
    <w:p w14:paraId="7083ECDA" w14:textId="0FFC4A29" w:rsidR="002D33D8" w:rsidRPr="002D33D8" w:rsidRDefault="002D33D8" w:rsidP="008D01EE">
      <w:pPr>
        <w:pStyle w:val="Ttulo3"/>
        <w:rPr>
          <w:lang w:val="es-MX"/>
        </w:rPr>
      </w:pPr>
      <w:bookmarkStart w:id="162" w:name="_Toc239441019"/>
      <w:r w:rsidRPr="002D33D8">
        <w:rPr>
          <w:lang w:val="es-MX"/>
        </w:rPr>
        <w:t>Privacidad, propiedad intelectual, equidad y accesibilidad</w:t>
      </w:r>
      <w:bookmarkEnd w:id="162"/>
    </w:p>
    <w:p w14:paraId="10225BDD" w14:textId="77777777" w:rsidR="002D33D8" w:rsidRPr="002D33D8" w:rsidRDefault="002D33D8" w:rsidP="002D33D8">
      <w:pPr>
        <w:rPr>
          <w:lang w:val="es-MX"/>
        </w:rPr>
      </w:pPr>
      <w:r w:rsidRPr="002D33D8">
        <w:rPr>
          <w:lang w:val="es-MX"/>
        </w:rPr>
        <w:t>Privacidad y propiedad intelectual. El uso responsable exige conocer qué información se introduce y qué derechos existen sobre entradas y salidas textos inéditos, datos de investigación, evaluaciones y expedientes pueden quedar almacenados o reutilizados por terceros. Desde un enfoque de derechos, la atención se desplaza de una supuesta insuficiencia personal hacia las barreras creadas por el entorno. Copiar material sensible en una cuenta personal crea exposición institucional aunque la finalidad parezca inocua. El acceso significativo exige capacidad de elección y no solamente aceptación de las condiciones definidas por el proveedor. Los riesgos de privacidad y propiedad intelectual forman parte del perfil específico de IA generativa (Autio et al., 2024).</w:t>
      </w:r>
    </w:p>
    <w:p w14:paraId="112AD9B9" w14:textId="77777777" w:rsidR="002D33D8" w:rsidRPr="002D33D8" w:rsidRDefault="002D33D8" w:rsidP="002D33D8">
      <w:pPr>
        <w:rPr>
          <w:lang w:val="es-MX"/>
        </w:rPr>
      </w:pPr>
      <w:r w:rsidRPr="002D33D8">
        <w:rPr>
          <w:lang w:val="es-MX"/>
        </w:rPr>
        <w:t>La respuesta institucional debe comenzar por definir herramientas autorizadas, categorías prohibidas, acuerdos de tratamiento y rutas seguras para necesidades legítimas El criterio tiene que formar parte de la garantía de calidad y ser exigible a unidades internas y proveedores externos. El avance puede examinarse mediante incidentes, transferencias, controles de conservación, licencias y solicitudes de derechos La orientación debe diferenciar confidencialidad, protección de datos, derechos de autor y secreto profesional. La evidencia resultante debe orientar ajustes y comunicarse de forma comprensible a la comunidad.</w:t>
      </w:r>
    </w:p>
    <w:p w14:paraId="33EF36AB" w14:textId="77777777" w:rsidR="002D33D8" w:rsidRPr="002D33D8" w:rsidRDefault="002D33D8" w:rsidP="002D33D8">
      <w:pPr>
        <w:rPr>
          <w:lang w:val="es-MX"/>
        </w:rPr>
      </w:pPr>
      <w:r w:rsidRPr="002D33D8">
        <w:rPr>
          <w:lang w:val="es-MX"/>
        </w:rPr>
        <w:t xml:space="preserve">Equidad, accesibilidad y no discriminación. Un marco responsable debe exigir que beneficios y errores se evalúen entre grupos y condiciones de uso la precisión promedio puede ocultar barreras para lenguas, discapacidades o contextos con menor representación. La cuestión central consiste en saber si el diseño amplía opciones reales o si obliga a todos a ajustarse a un usuario idealizado. Una herramienta obligatoria sin alternativa accesible convierte la innovación en requisito </w:t>
      </w:r>
      <w:r w:rsidRPr="002D33D8">
        <w:rPr>
          <w:lang w:val="es-MX"/>
        </w:rPr>
        <w:lastRenderedPageBreak/>
        <w:t>excluyente. Las ventajas prometidas necesitan compararse con los costos de participación, privacidad, aprendizaje y soporte que soportan distintos grupos. Los sesgos educativos pueden originarse en datos, diseño, interacción y contexto institucional (Baker &amp; Hawn, 2022).</w:t>
      </w:r>
    </w:p>
    <w:p w14:paraId="7B111B41" w14:textId="77777777" w:rsidR="002D33D8" w:rsidRPr="002D33D8" w:rsidRDefault="002D33D8" w:rsidP="002D33D8">
      <w:pPr>
        <w:rPr>
          <w:lang w:val="es-MX"/>
        </w:rPr>
      </w:pPr>
      <w:r w:rsidRPr="002D33D8">
        <w:rPr>
          <w:lang w:val="es-MX"/>
        </w:rPr>
        <w:t>La respuesta institucional se concreta al incorporar pruebas de accesibilidad, análisis distributivo, ajustes razonables y opciones equivalentes La puesta en práctica necesita reglas de escalamiento para que los problemas repetidos se conviertan en mejoras del sistema. El avance puede examinarse mediante desempeño desagregado, barreras, reclamaciones, costos y resultados educativos Las unidades de inclusión y las comunidades afectadas deben participar antes del despliegue. El seguimiento permite saber si el apoyo reduce la barrera o si simplemente desplaza el problema hacia otra etapa.</w:t>
      </w:r>
    </w:p>
    <w:p w14:paraId="5A4F8459" w14:textId="393F5041" w:rsidR="002D33D8" w:rsidRPr="002D33D8" w:rsidRDefault="002D33D8" w:rsidP="008D01EE">
      <w:pPr>
        <w:pStyle w:val="Ttulo3"/>
        <w:rPr>
          <w:lang w:val="es-MX"/>
        </w:rPr>
      </w:pPr>
      <w:bookmarkStart w:id="163" w:name="_Toc239441020"/>
      <w:r w:rsidRPr="002D33D8">
        <w:rPr>
          <w:lang w:val="es-MX"/>
        </w:rPr>
        <w:t>Decisiones de alto impacto, seguridad y robustez</w:t>
      </w:r>
      <w:bookmarkEnd w:id="163"/>
    </w:p>
    <w:p w14:paraId="37952E5D" w14:textId="77777777" w:rsidR="002D33D8" w:rsidRPr="002D33D8" w:rsidRDefault="002D33D8" w:rsidP="002D33D8">
      <w:pPr>
        <w:rPr>
          <w:lang w:val="es-MX"/>
        </w:rPr>
      </w:pPr>
      <w:r w:rsidRPr="002D33D8">
        <w:rPr>
          <w:lang w:val="es-MX"/>
        </w:rPr>
        <w:t>Decisiones de alto impacto. Los sistemas que influyen en admisión, calificación, permanencia, becas o empleo requieren garantías reforzadas sus errores afectan oportunidades y pueden ser difíciles de detectar por quien recibe la decisión. La disponibilidad formal, por sí sola, no demuestra que el recurso pueda utilizarse de manera continua, autónoma y académicamente provechosa. La opacidad del proveedor y la escala de uso aumentan el daño potencial y dificultan atribuir responsabilidad. Las consecuencias deben analizarse durante todo el ciclo de vida, porque una actualización puede modificar costos, requisitos o accesibilidad. Los marcos regulatorios consideran especialmente sensibles varios usos de IA relacionados con educación y acceso a oportunidades (</w:t>
      </w:r>
      <w:proofErr w:type="spellStart"/>
      <w:r w:rsidRPr="002D33D8">
        <w:rPr>
          <w:lang w:val="es-MX"/>
        </w:rPr>
        <w:t>European</w:t>
      </w:r>
      <w:proofErr w:type="spellEnd"/>
      <w:r w:rsidRPr="002D33D8">
        <w:rPr>
          <w:lang w:val="es-MX"/>
        </w:rPr>
        <w:t xml:space="preserve"> Parliament &amp; Council </w:t>
      </w:r>
      <w:proofErr w:type="spellStart"/>
      <w:r w:rsidRPr="002D33D8">
        <w:rPr>
          <w:lang w:val="es-MX"/>
        </w:rPr>
        <w:t>of</w:t>
      </w:r>
      <w:proofErr w:type="spellEnd"/>
      <w:r w:rsidRPr="002D33D8">
        <w:rPr>
          <w:lang w:val="es-MX"/>
        </w:rPr>
        <w:t xml:space="preserve"> </w:t>
      </w:r>
      <w:proofErr w:type="spellStart"/>
      <w:r w:rsidRPr="002D33D8">
        <w:rPr>
          <w:lang w:val="es-MX"/>
        </w:rPr>
        <w:t>the</w:t>
      </w:r>
      <w:proofErr w:type="spellEnd"/>
      <w:r w:rsidRPr="002D33D8">
        <w:rPr>
          <w:lang w:val="es-MX"/>
        </w:rPr>
        <w:t xml:space="preserve"> </w:t>
      </w:r>
      <w:proofErr w:type="spellStart"/>
      <w:r w:rsidRPr="002D33D8">
        <w:rPr>
          <w:lang w:val="es-MX"/>
        </w:rPr>
        <w:t>European</w:t>
      </w:r>
      <w:proofErr w:type="spellEnd"/>
      <w:r w:rsidRPr="002D33D8">
        <w:rPr>
          <w:lang w:val="es-MX"/>
        </w:rPr>
        <w:t xml:space="preserve"> Union, 2024).</w:t>
      </w:r>
    </w:p>
    <w:p w14:paraId="71206C11" w14:textId="77777777" w:rsidR="002D33D8" w:rsidRPr="002D33D8" w:rsidRDefault="002D33D8" w:rsidP="002D33D8">
      <w:pPr>
        <w:rPr>
          <w:lang w:val="es-MX"/>
        </w:rPr>
      </w:pPr>
      <w:r w:rsidRPr="002D33D8">
        <w:rPr>
          <w:lang w:val="es-MX"/>
        </w:rPr>
        <w:t>La respuesta institucional consiste en exigir necesidad demostrada, validación independiente, supervisión competente, explicación y recurso La institución debe mantener canales alternativos y asegurar que elegirlos no implique menor validez, mayor costo ni demoras desproporcionadas. El avance puede examinarse mediante validez, errores por grupo, anulaciones, apelaciones y efectos longitudinales La decisión final debe permanecer bajo autoridad institucional y no delegarse contractualmente. Así, la inclusión se convierte en un criterio previo de calidad y no en una reparación excepcional.</w:t>
      </w:r>
    </w:p>
    <w:p w14:paraId="03DEB08E" w14:textId="1EC64E55" w:rsidR="002D33D8" w:rsidRPr="002D33D8" w:rsidRDefault="002D33D8" w:rsidP="002D33D8">
      <w:pPr>
        <w:rPr>
          <w:lang w:val="es-MX"/>
        </w:rPr>
      </w:pPr>
      <w:r w:rsidRPr="002D33D8">
        <w:rPr>
          <w:b/>
          <w:bCs/>
          <w:lang w:val="es-MX"/>
        </w:rPr>
        <w:t xml:space="preserve">Tabla </w:t>
      </w:r>
      <w:r w:rsidR="00FA6F60">
        <w:rPr>
          <w:b/>
          <w:bCs/>
          <w:lang w:val="es-MX"/>
        </w:rPr>
        <w:t>7</w:t>
      </w:r>
      <w:r w:rsidRPr="002D33D8">
        <w:rPr>
          <w:b/>
          <w:bCs/>
          <w:lang w:val="es-MX"/>
        </w:rPr>
        <w:t>.3. Salvaguardias para decisiones universitarias de alto impacto</w:t>
      </w:r>
    </w:p>
    <w:tbl>
      <w:tblPr>
        <w:tblStyle w:val="Tablanormal2"/>
        <w:tblW w:w="8392" w:type="dxa"/>
        <w:tblLook w:val="04A0" w:firstRow="1" w:lastRow="0" w:firstColumn="1" w:lastColumn="0" w:noHBand="0" w:noVBand="1"/>
      </w:tblPr>
      <w:tblGrid>
        <w:gridCol w:w="2098"/>
        <w:gridCol w:w="2098"/>
        <w:gridCol w:w="2098"/>
        <w:gridCol w:w="2098"/>
      </w:tblGrid>
      <w:tr w:rsidR="002D33D8" w:rsidRPr="002D33D8" w14:paraId="784A6E13" w14:textId="77777777" w:rsidTr="002A35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127EC1D" w14:textId="77777777" w:rsidR="002D33D8" w:rsidRPr="002A3599" w:rsidRDefault="002D33D8" w:rsidP="002A3599">
            <w:pPr>
              <w:spacing w:before="0" w:after="0" w:line="240" w:lineRule="auto"/>
              <w:jc w:val="center"/>
              <w:rPr>
                <w:sz w:val="20"/>
                <w:szCs w:val="20"/>
                <w:lang w:val="es-MX"/>
              </w:rPr>
            </w:pPr>
            <w:r w:rsidRPr="002A3599">
              <w:rPr>
                <w:sz w:val="20"/>
                <w:szCs w:val="20"/>
                <w:lang w:val="es-MX"/>
              </w:rPr>
              <w:t>Salvaguardia</w:t>
            </w:r>
          </w:p>
        </w:tc>
        <w:tc>
          <w:tcPr>
            <w:tcW w:w="2098" w:type="dxa"/>
            <w:vAlign w:val="center"/>
            <w:hideMark/>
          </w:tcPr>
          <w:p w14:paraId="4399D4AD"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Finalidad</w:t>
            </w:r>
          </w:p>
        </w:tc>
        <w:tc>
          <w:tcPr>
            <w:tcW w:w="2098" w:type="dxa"/>
            <w:vAlign w:val="center"/>
            <w:hideMark/>
          </w:tcPr>
          <w:p w14:paraId="7F80B6E7"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Evidencia requerida</w:t>
            </w:r>
          </w:p>
        </w:tc>
        <w:tc>
          <w:tcPr>
            <w:tcW w:w="2098" w:type="dxa"/>
            <w:vAlign w:val="center"/>
            <w:hideMark/>
          </w:tcPr>
          <w:p w14:paraId="07F5B5C1"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Responsable</w:t>
            </w:r>
          </w:p>
        </w:tc>
      </w:tr>
      <w:tr w:rsidR="002D33D8" w:rsidRPr="002D33D8" w14:paraId="4547F05D"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A6DBB3F" w14:textId="77777777" w:rsidR="002D33D8" w:rsidRPr="002A3599" w:rsidRDefault="002D33D8" w:rsidP="002A3599">
            <w:pPr>
              <w:spacing w:before="0" w:after="0" w:line="240" w:lineRule="auto"/>
              <w:rPr>
                <w:sz w:val="20"/>
                <w:szCs w:val="20"/>
                <w:lang w:val="es-MX"/>
              </w:rPr>
            </w:pPr>
            <w:r w:rsidRPr="002A3599">
              <w:rPr>
                <w:sz w:val="20"/>
                <w:szCs w:val="20"/>
                <w:lang w:val="es-MX"/>
              </w:rPr>
              <w:t>Necesidad</w:t>
            </w:r>
          </w:p>
        </w:tc>
        <w:tc>
          <w:tcPr>
            <w:tcW w:w="2098" w:type="dxa"/>
            <w:vAlign w:val="center"/>
            <w:hideMark/>
          </w:tcPr>
          <w:p w14:paraId="3EB552E7"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Evitar automatización innecesaria</w:t>
            </w:r>
          </w:p>
        </w:tc>
        <w:tc>
          <w:tcPr>
            <w:tcW w:w="2098" w:type="dxa"/>
            <w:vAlign w:val="center"/>
            <w:hideMark/>
          </w:tcPr>
          <w:p w14:paraId="4D3A3ACA"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Problema, alternativas y proporcionalidad</w:t>
            </w:r>
          </w:p>
        </w:tc>
        <w:tc>
          <w:tcPr>
            <w:tcW w:w="2098" w:type="dxa"/>
            <w:vAlign w:val="center"/>
            <w:hideMark/>
          </w:tcPr>
          <w:p w14:paraId="4DEE2D2D"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Unidad proponente</w:t>
            </w:r>
          </w:p>
        </w:tc>
      </w:tr>
      <w:tr w:rsidR="002D33D8" w:rsidRPr="002D33D8" w14:paraId="34E05220" w14:textId="77777777" w:rsidTr="002A3599">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73DCF187" w14:textId="77777777" w:rsidR="002D33D8" w:rsidRPr="002A3599" w:rsidRDefault="002D33D8" w:rsidP="002A3599">
            <w:pPr>
              <w:spacing w:before="0" w:after="0" w:line="240" w:lineRule="auto"/>
              <w:rPr>
                <w:sz w:val="20"/>
                <w:szCs w:val="20"/>
                <w:lang w:val="es-MX"/>
              </w:rPr>
            </w:pPr>
            <w:r w:rsidRPr="002A3599">
              <w:rPr>
                <w:sz w:val="20"/>
                <w:szCs w:val="20"/>
                <w:lang w:val="es-MX"/>
              </w:rPr>
              <w:t>Validación independiente</w:t>
            </w:r>
          </w:p>
        </w:tc>
        <w:tc>
          <w:tcPr>
            <w:tcW w:w="2098" w:type="dxa"/>
            <w:vAlign w:val="center"/>
            <w:hideMark/>
          </w:tcPr>
          <w:p w14:paraId="7E2ACEC3"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Comprobar rendimiento y límites</w:t>
            </w:r>
          </w:p>
        </w:tc>
        <w:tc>
          <w:tcPr>
            <w:tcW w:w="2098" w:type="dxa"/>
            <w:vAlign w:val="center"/>
            <w:hideMark/>
          </w:tcPr>
          <w:p w14:paraId="4B4AFF75"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Resultados por grupos y casos extremos</w:t>
            </w:r>
          </w:p>
        </w:tc>
        <w:tc>
          <w:tcPr>
            <w:tcW w:w="2098" w:type="dxa"/>
            <w:vAlign w:val="center"/>
            <w:hideMark/>
          </w:tcPr>
          <w:p w14:paraId="173705A5"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Equipo revisor</w:t>
            </w:r>
          </w:p>
        </w:tc>
      </w:tr>
      <w:tr w:rsidR="002D33D8" w:rsidRPr="002D33D8" w14:paraId="77950E74"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CBB5E88" w14:textId="77777777" w:rsidR="002D33D8" w:rsidRPr="002A3599" w:rsidRDefault="002D33D8" w:rsidP="002A3599">
            <w:pPr>
              <w:spacing w:before="0" w:after="0" w:line="240" w:lineRule="auto"/>
              <w:rPr>
                <w:sz w:val="20"/>
                <w:szCs w:val="20"/>
                <w:lang w:val="es-MX"/>
              </w:rPr>
            </w:pPr>
            <w:r w:rsidRPr="002A3599">
              <w:rPr>
                <w:sz w:val="20"/>
                <w:szCs w:val="20"/>
                <w:lang w:val="es-MX"/>
              </w:rPr>
              <w:t>Supervisión humana</w:t>
            </w:r>
          </w:p>
        </w:tc>
        <w:tc>
          <w:tcPr>
            <w:tcW w:w="2098" w:type="dxa"/>
            <w:vAlign w:val="center"/>
            <w:hideMark/>
          </w:tcPr>
          <w:p w14:paraId="5B265721"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Permitir apartarse de la recomendación</w:t>
            </w:r>
          </w:p>
        </w:tc>
        <w:tc>
          <w:tcPr>
            <w:tcW w:w="2098" w:type="dxa"/>
            <w:vAlign w:val="center"/>
            <w:hideMark/>
          </w:tcPr>
          <w:p w14:paraId="68E97104"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Registro de revisión y autoridad</w:t>
            </w:r>
          </w:p>
        </w:tc>
        <w:tc>
          <w:tcPr>
            <w:tcW w:w="2098" w:type="dxa"/>
            <w:vAlign w:val="center"/>
            <w:hideMark/>
          </w:tcPr>
          <w:p w14:paraId="5EA19319"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Decisor competente</w:t>
            </w:r>
          </w:p>
        </w:tc>
      </w:tr>
      <w:tr w:rsidR="002D33D8" w:rsidRPr="002D33D8" w14:paraId="3A24E657" w14:textId="77777777" w:rsidTr="002A3599">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C587952" w14:textId="77777777" w:rsidR="002D33D8" w:rsidRPr="002A3599" w:rsidRDefault="002D33D8" w:rsidP="002A3599">
            <w:pPr>
              <w:spacing w:before="0" w:after="0" w:line="240" w:lineRule="auto"/>
              <w:rPr>
                <w:sz w:val="20"/>
                <w:szCs w:val="20"/>
                <w:lang w:val="es-MX"/>
              </w:rPr>
            </w:pPr>
            <w:r w:rsidRPr="002A3599">
              <w:rPr>
                <w:sz w:val="20"/>
                <w:szCs w:val="20"/>
                <w:lang w:val="es-MX"/>
              </w:rPr>
              <w:t>Explicación y recurso</w:t>
            </w:r>
          </w:p>
        </w:tc>
        <w:tc>
          <w:tcPr>
            <w:tcW w:w="2098" w:type="dxa"/>
            <w:vAlign w:val="center"/>
            <w:hideMark/>
          </w:tcPr>
          <w:p w14:paraId="5932F7F5"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Proteger comprensión y derechos</w:t>
            </w:r>
          </w:p>
        </w:tc>
        <w:tc>
          <w:tcPr>
            <w:tcW w:w="2098" w:type="dxa"/>
            <w:vAlign w:val="center"/>
            <w:hideMark/>
          </w:tcPr>
          <w:p w14:paraId="135F628D"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Notificación, canal y plazo</w:t>
            </w:r>
          </w:p>
        </w:tc>
        <w:tc>
          <w:tcPr>
            <w:tcW w:w="2098" w:type="dxa"/>
            <w:vAlign w:val="center"/>
            <w:hideMark/>
          </w:tcPr>
          <w:p w14:paraId="4D5467F4"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Unidad responsable</w:t>
            </w:r>
          </w:p>
        </w:tc>
      </w:tr>
      <w:tr w:rsidR="002D33D8" w:rsidRPr="002D33D8" w14:paraId="34B6B9D3"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4A56442" w14:textId="77777777" w:rsidR="002D33D8" w:rsidRPr="002A3599" w:rsidRDefault="002D33D8" w:rsidP="002A3599">
            <w:pPr>
              <w:spacing w:before="0" w:after="0" w:line="240" w:lineRule="auto"/>
              <w:rPr>
                <w:sz w:val="20"/>
                <w:szCs w:val="20"/>
                <w:lang w:val="es-MX"/>
              </w:rPr>
            </w:pPr>
            <w:r w:rsidRPr="002A3599">
              <w:rPr>
                <w:sz w:val="20"/>
                <w:szCs w:val="20"/>
                <w:lang w:val="es-MX"/>
              </w:rPr>
              <w:t>Monitoreo</w:t>
            </w:r>
          </w:p>
        </w:tc>
        <w:tc>
          <w:tcPr>
            <w:tcW w:w="2098" w:type="dxa"/>
            <w:vAlign w:val="center"/>
            <w:hideMark/>
          </w:tcPr>
          <w:p w14:paraId="48040AD9"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Detectar degradación e impactos</w:t>
            </w:r>
          </w:p>
        </w:tc>
        <w:tc>
          <w:tcPr>
            <w:tcW w:w="2098" w:type="dxa"/>
            <w:vAlign w:val="center"/>
            <w:hideMark/>
          </w:tcPr>
          <w:p w14:paraId="5E20FCA0"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Indicadores, incidentes y correcciones</w:t>
            </w:r>
          </w:p>
        </w:tc>
        <w:tc>
          <w:tcPr>
            <w:tcW w:w="2098" w:type="dxa"/>
            <w:vAlign w:val="center"/>
            <w:hideMark/>
          </w:tcPr>
          <w:p w14:paraId="32885F24"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Gobernanza institucional</w:t>
            </w:r>
          </w:p>
        </w:tc>
      </w:tr>
    </w:tbl>
    <w:p w14:paraId="6103B402" w14:textId="77777777" w:rsidR="002D33D8" w:rsidRPr="002D33D8" w:rsidRDefault="002D33D8" w:rsidP="002D33D8">
      <w:pPr>
        <w:rPr>
          <w:lang w:val="es-MX"/>
        </w:rPr>
      </w:pPr>
      <w:r w:rsidRPr="002D33D8">
        <w:rPr>
          <w:i/>
          <w:iCs/>
          <w:lang w:val="es-MX"/>
        </w:rPr>
        <w:lastRenderedPageBreak/>
        <w:t>Fuente: elaboración propia a partir de las referencias citadas en el apartado.</w:t>
      </w:r>
    </w:p>
    <w:p w14:paraId="661DA131" w14:textId="77777777" w:rsidR="002D33D8" w:rsidRPr="002D33D8" w:rsidRDefault="002D33D8" w:rsidP="002D33D8">
      <w:pPr>
        <w:rPr>
          <w:lang w:val="es-MX"/>
        </w:rPr>
      </w:pPr>
      <w:r w:rsidRPr="002D33D8">
        <w:rPr>
          <w:lang w:val="es-MX"/>
        </w:rPr>
        <w:t xml:space="preserve">Seguridad y robustez. En educación superior, la </w:t>
      </w:r>
      <w:proofErr w:type="spellStart"/>
      <w:r w:rsidRPr="002D33D8">
        <w:rPr>
          <w:lang w:val="es-MX"/>
        </w:rPr>
        <w:t>ia</w:t>
      </w:r>
      <w:proofErr w:type="spellEnd"/>
      <w:r w:rsidRPr="002D33D8">
        <w:rPr>
          <w:lang w:val="es-MX"/>
        </w:rPr>
        <w:t xml:space="preserve"> amplía superficies de ataque y puede producir respuestas manipuladas o inseguras las amenazas incluyen filtración, instrucciones maliciosas, contaminación de datos, suplantación y dependencia de componentes externos. La equidad exige valorar el recorrido completo y no solo confirmar que existe una cuenta, una aplicación o un punto de conexión. La confianza basada únicamente en pruebas del proveedor no refleja el entorno real ni los cambios del modelo. Si esta desigualdad se atribuye al esfuerzo individual, la organización evita examinar las decisiones que producen o agravan la desventaja. La gestión de IA generativa debe considerar seguridad de la información, contenido peligroso y riesgos de la cadena de valor (Autio et al., 2024).</w:t>
      </w:r>
    </w:p>
    <w:p w14:paraId="19BDC74B" w14:textId="77777777" w:rsidR="002D33D8" w:rsidRPr="002D33D8" w:rsidRDefault="002D33D8" w:rsidP="002D33D8">
      <w:pPr>
        <w:rPr>
          <w:lang w:val="es-MX"/>
        </w:rPr>
      </w:pPr>
      <w:r w:rsidRPr="002D33D8">
        <w:rPr>
          <w:lang w:val="es-MX"/>
        </w:rPr>
        <w:t>La respuesta institucional requiere integrar evaluación de seguridad, controles de acceso, pruebas adversariales, continuidad y respuesta a incidentes El apoyo debe llegar en el momento en que la barrera aparece, puesto que una corrección posterior no siempre repara la pérdida de aprendizaje. El avance puede examinarse mediante vulnerabilidades, tiempo de corrección, exposición, disponibilidad y eficacia de contingencias Tecnología y seguridad deben coordinar con usuarios para no crear controles que impidan la labor académica. La revisión periódica protege la dignidad y distribuye institucionalmente la responsabilidad por los resultados.</w:t>
      </w:r>
    </w:p>
    <w:p w14:paraId="209350B4" w14:textId="1BC44CA8" w:rsidR="002D33D8" w:rsidRPr="002D33D8" w:rsidRDefault="002D33D8" w:rsidP="002A3599">
      <w:pPr>
        <w:pStyle w:val="Ttulo3"/>
        <w:rPr>
          <w:lang w:val="es-MX"/>
        </w:rPr>
      </w:pPr>
      <w:bookmarkStart w:id="164" w:name="_Toc239441021"/>
      <w:r w:rsidRPr="002D33D8">
        <w:rPr>
          <w:lang w:val="es-MX"/>
        </w:rPr>
        <w:t>Sostenibilidad, explicación, recurso y armonización normativa</w:t>
      </w:r>
      <w:bookmarkEnd w:id="164"/>
    </w:p>
    <w:p w14:paraId="4E8BD5AB" w14:textId="77777777" w:rsidR="002D33D8" w:rsidRPr="002D33D8" w:rsidRDefault="002D33D8" w:rsidP="002D33D8">
      <w:pPr>
        <w:rPr>
          <w:lang w:val="es-MX"/>
        </w:rPr>
      </w:pPr>
      <w:r w:rsidRPr="002D33D8">
        <w:rPr>
          <w:lang w:val="es-MX"/>
        </w:rPr>
        <w:t>Sostenibilidad ambiental y financiera. El uso responsable incluye costos energéticos, materiales, presupuestarios y de oportunidad las consultas, el entrenamiento y la infraestructura consumen recursos, mientras las licencias compiten con otras prioridades universitarias. La evaluación responsable debe observar la calidad de la experiencia, además del número de usuarios registrados por el sistema. La aparente gratuidad puede ocultar subsidios temporales, extracción de datos y dependencia futura. La responsabilidad corresponde a la institución que selecciona y organiza el recurso, no solo a la persona que intenta adaptarse a él. La economía material de la IA y sus efectos ambientales forman parte de una evaluación ética completa (Crawford, 2021; UNESCO, 2021).</w:t>
      </w:r>
    </w:p>
    <w:p w14:paraId="6590D783" w14:textId="77777777" w:rsidR="002D33D8" w:rsidRPr="002D33D8" w:rsidRDefault="002D33D8" w:rsidP="002D33D8">
      <w:pPr>
        <w:rPr>
          <w:lang w:val="es-MX"/>
        </w:rPr>
      </w:pPr>
      <w:r w:rsidRPr="002D33D8">
        <w:rPr>
          <w:lang w:val="es-MX"/>
        </w:rPr>
        <w:t>La respuesta institucional debe comenzar por estimar costo total, proporcionalidad, eficiencia y alternativas de menor impacto antes de escalar La comunidad afectada debe intervenir antes de cerrar requisitos y disponer de capacidad efectiva para proponer cambios. El avance puede examinarse mediante consumo, costo por resultado, utilización, concentración y beneficios demostrados Las decisiones deben comparar la IA con opciones pedagógicas y organizacionales, no solo con otros proveedores. Los hallazgos deben vincularse con decisiones presupuestarias y no limitarse a un informe descriptivo.</w:t>
      </w:r>
    </w:p>
    <w:p w14:paraId="00A8A6FE" w14:textId="77777777" w:rsidR="002D33D8" w:rsidRPr="002D33D8" w:rsidRDefault="002D33D8" w:rsidP="002D33D8">
      <w:pPr>
        <w:rPr>
          <w:lang w:val="es-MX"/>
        </w:rPr>
      </w:pPr>
      <w:r w:rsidRPr="002D33D8">
        <w:rPr>
          <w:lang w:val="es-MX"/>
        </w:rPr>
        <w:lastRenderedPageBreak/>
        <w:t>Derecho a explicación y recurso. Quien resulta afectado por una decisión necesita conocer sus fundamentos y poder cuestionarla una explicación útil relaciona factores con el caso, reconoce incertidumbre y señala el procedimiento para aportar evidencia. La experiencia concreta revela diferencias que suelen desaparecer cuando la institución observa únicamente cifras agregadas. Las descripciones técnicas genéricas no permiten corregir datos ni impugnar una decisión concreta. Una intervención apresurada corre el riesgo de digitalizar una exclusión previa y otorgarle una apariencia de eficiencia. La responsabilidad algorítmica requiere debido proceso y mecanismos capaces de examinar resultados individuales (Kroll et al., 2017).</w:t>
      </w:r>
    </w:p>
    <w:p w14:paraId="611B0F0D" w14:textId="77777777" w:rsidR="002D33D8" w:rsidRPr="002D33D8" w:rsidRDefault="002D33D8" w:rsidP="002D33D8">
      <w:pPr>
        <w:rPr>
          <w:lang w:val="es-MX"/>
        </w:rPr>
      </w:pPr>
      <w:r w:rsidRPr="002D33D8">
        <w:rPr>
          <w:lang w:val="es-MX"/>
        </w:rPr>
        <w:t>La respuesta institucional se concreta al crear notificaciones comprensibles, revisión humana independiente, plazos y medidas de reparación La información sobre el servicio debe presentarse en lenguaje claro y explicar tanto sus posibilidades como las condiciones en las que puede fallar. El avance puede examinarse mediante apelaciones, cambios de decisión, tiempos, accesibilidad y satisfacción con el proceso La revisión debe evitar represalias y suspender efectos irreversibles cuando exista una controversia razonable. La transparencia sobre avances y pendientes favorece confianza, aprendizaje organizacional y rendición de cuentas.</w:t>
      </w:r>
    </w:p>
    <w:p w14:paraId="661D4914" w14:textId="77777777" w:rsidR="002D33D8" w:rsidRPr="002D33D8" w:rsidRDefault="002D33D8" w:rsidP="002D33D8">
      <w:pPr>
        <w:rPr>
          <w:lang w:val="es-MX"/>
        </w:rPr>
      </w:pPr>
      <w:r w:rsidRPr="002D33D8">
        <w:rPr>
          <w:lang w:val="es-MX"/>
        </w:rPr>
        <w:t xml:space="preserve">Armonización normativa. Las políticas de IA deben coordinarse con normas de evaluación, investigación, datos, seguridad, accesibilidad y contratación una guía aislada produce duplicidades y contradicciones que dificultan el cumplimiento. Las barreras pueden ser permanentes, temporales o situacionales, y con frecuencia se acumulan durante una misma trayectoria académica. La fragmentación permite elegir la regla más conveniente y deja vacíos entre unidades. La heterogeneidad de la comunidad universitaria requiere respuestas flexibles y evita considerar una única experiencia como norma. Los sistemas de gestión permiten articular políticas, objetivos, controles y mejora en una estructura común (International </w:t>
      </w:r>
      <w:proofErr w:type="spellStart"/>
      <w:r w:rsidRPr="002D33D8">
        <w:rPr>
          <w:lang w:val="es-MX"/>
        </w:rPr>
        <w:t>Organization</w:t>
      </w:r>
      <w:proofErr w:type="spellEnd"/>
      <w:r w:rsidRPr="002D33D8">
        <w:rPr>
          <w:lang w:val="es-MX"/>
        </w:rPr>
        <w:t xml:space="preserve"> </w:t>
      </w:r>
      <w:proofErr w:type="spellStart"/>
      <w:r w:rsidRPr="002D33D8">
        <w:rPr>
          <w:lang w:val="es-MX"/>
        </w:rPr>
        <w:t>for</w:t>
      </w:r>
      <w:proofErr w:type="spellEnd"/>
      <w:r w:rsidRPr="002D33D8">
        <w:rPr>
          <w:lang w:val="es-MX"/>
        </w:rPr>
        <w:t xml:space="preserve"> </w:t>
      </w:r>
      <w:proofErr w:type="spellStart"/>
      <w:r w:rsidRPr="002D33D8">
        <w:rPr>
          <w:lang w:val="es-MX"/>
        </w:rPr>
        <w:t>Standardization</w:t>
      </w:r>
      <w:proofErr w:type="spellEnd"/>
      <w:r w:rsidRPr="002D33D8">
        <w:rPr>
          <w:lang w:val="es-MX"/>
        </w:rPr>
        <w:t>, 2023).</w:t>
      </w:r>
    </w:p>
    <w:p w14:paraId="0C896407" w14:textId="77777777" w:rsidR="002D33D8" w:rsidRPr="002D33D8" w:rsidRDefault="002D33D8" w:rsidP="002D33D8">
      <w:pPr>
        <w:rPr>
          <w:lang w:val="es-MX"/>
        </w:rPr>
      </w:pPr>
      <w:r w:rsidRPr="002D33D8">
        <w:rPr>
          <w:lang w:val="es-MX"/>
        </w:rPr>
        <w:t>La respuesta institucional consiste en mapear obligaciones, establecer jerarquías, actualizar documentos relacionados y mantener un punto único de orientación La decisión necesita reflejarse en contratación, currículo, soporte y formación del personal para no depender de iniciativas aisladas. El avance puede examinarse mediante contradicciones detectadas, documentos actualizados, consultas derivadas y cumplimiento Asesoría jurídica debe trabajar con órganos académicos para preservar la finalidad educativa de la interpretación. Una mejora demostrable combina desempeño técnico, experiencia de usuario y efectos educativos.</w:t>
      </w:r>
    </w:p>
    <w:p w14:paraId="0DCF1944" w14:textId="1765BF3D" w:rsidR="002D33D8" w:rsidRPr="002D33D8" w:rsidRDefault="002D33D8" w:rsidP="002A3599">
      <w:pPr>
        <w:pStyle w:val="Ttulo2"/>
        <w:rPr>
          <w:lang w:val="es-MX"/>
        </w:rPr>
      </w:pPr>
      <w:bookmarkStart w:id="165" w:name="_Toc239441022"/>
      <w:r w:rsidRPr="002D33D8">
        <w:rPr>
          <w:lang w:val="es-MX"/>
        </w:rPr>
        <w:t>Escenarios futuros para la universidad</w:t>
      </w:r>
      <w:bookmarkEnd w:id="165"/>
    </w:p>
    <w:p w14:paraId="5D090C6F" w14:textId="77DC4498" w:rsidR="002D33D8" w:rsidRPr="002D33D8" w:rsidRDefault="002D33D8" w:rsidP="002A3599">
      <w:pPr>
        <w:pStyle w:val="Ttulo3"/>
        <w:rPr>
          <w:lang w:val="es-MX"/>
        </w:rPr>
      </w:pPr>
      <w:bookmarkStart w:id="166" w:name="_Toc239441023"/>
      <w:r w:rsidRPr="002D33D8">
        <w:rPr>
          <w:lang w:val="es-MX"/>
        </w:rPr>
        <w:t>Construcción de escenarios y universidad aumentada</w:t>
      </w:r>
      <w:bookmarkEnd w:id="166"/>
    </w:p>
    <w:p w14:paraId="3F2EEA25" w14:textId="77777777" w:rsidR="002D33D8" w:rsidRPr="002D33D8" w:rsidRDefault="002D33D8" w:rsidP="002D33D8">
      <w:pPr>
        <w:rPr>
          <w:lang w:val="es-MX"/>
        </w:rPr>
      </w:pPr>
      <w:r w:rsidRPr="002D33D8">
        <w:rPr>
          <w:lang w:val="es-MX"/>
        </w:rPr>
        <w:t xml:space="preserve">Escenarios en lugar de predicciones. La planificación universitaria necesita explorar futuros plausibles sin presentar una tendencia como destino los escenarios combinan cambios </w:t>
      </w:r>
      <w:r w:rsidRPr="002D33D8">
        <w:rPr>
          <w:lang w:val="es-MX"/>
        </w:rPr>
        <w:lastRenderedPageBreak/>
        <w:t>tecnológicos, regulatorios, económicos, demográficos y culturales para examinar decisiones robustas. El beneficio educativo depende tanto de la tecnología como de las normas, apoyos y relaciones humanas que organizan su utilización. Una predicción única favorece inversiones irreversibles y reduce atención a señales que contradicen la narrativa dominante. La innovación merece legitimidad cuando distribuye beneficios y riesgos de una manera que la comunidad puede conocer y discutir. La prospectiva educativa ayuda a ampliar la imaginación política y a vincular futuros con decisiones presentes (UNESCO, 2021).</w:t>
      </w:r>
    </w:p>
    <w:p w14:paraId="05D975E5" w14:textId="77777777" w:rsidR="002D33D8" w:rsidRPr="002D33D8" w:rsidRDefault="002D33D8" w:rsidP="002D33D8">
      <w:pPr>
        <w:rPr>
          <w:lang w:val="es-MX"/>
        </w:rPr>
      </w:pPr>
      <w:r w:rsidRPr="002D33D8">
        <w:rPr>
          <w:lang w:val="es-MX"/>
        </w:rPr>
        <w:t>La respuesta institucional se concreta al construir varios escenarios, identificar supuestos, señales tempranas y opciones que funcionen bajo condiciones distintas La puesta en práctica necesita reglas de escalamiento para que los problemas repetidos se conviertan en mejoras del sistema. El avance puede examinarse mediante diversidad de variables, revisión de supuestos, decisiones ajustadas y preparación ante sorpresas La comunidad debe participar para que el futuro no sea definido solamente por proveedores o especialistas. Los resultados adquieren sentido cuando se interpretan junto con las personas que viven las barreras.</w:t>
      </w:r>
    </w:p>
    <w:p w14:paraId="028C8D9D" w14:textId="77777777" w:rsidR="002D33D8" w:rsidRPr="002D33D8" w:rsidRDefault="002D33D8" w:rsidP="002D33D8">
      <w:pPr>
        <w:rPr>
          <w:lang w:val="es-MX"/>
        </w:rPr>
      </w:pPr>
      <w:r w:rsidRPr="002D33D8">
        <w:rPr>
          <w:lang w:val="es-MX"/>
        </w:rPr>
        <w:t>Universidad aumentada. Un escenario plausible combina juicio humano con asistencia de IA en tareas docentes, científicas y administrativas los sistemas preparan borradores, buscan patrones y ofrecen retroalimentación, mientras las personas definen propósitos, interpretan contexto y asumen responsabilidad. Desde un enfoque de derechos, la atención se desplaza de una supuesta insuficiencia personal hacia las barreras creadas por el entorno. La eficiencia puede convertirse en intensificación laboral si el tiempo ahorrado se llena con nuevas demandas sin mejorar aprendizaje ni bienestar. La IA puede ofrecer mediaciones útiles, aunque también incorpora dependencias comerciales, incertidumbre y nuevas formas de clasificación. La IA puede complementar capacidades, pero su valor depende del diseño del trabajo y de la supervisión humana (OECD, 2026).</w:t>
      </w:r>
    </w:p>
    <w:p w14:paraId="65217515" w14:textId="77777777" w:rsidR="002D33D8" w:rsidRPr="002D33D8" w:rsidRDefault="002D33D8" w:rsidP="002D33D8">
      <w:pPr>
        <w:rPr>
          <w:lang w:val="es-MX"/>
        </w:rPr>
      </w:pPr>
      <w:r w:rsidRPr="002D33D8">
        <w:rPr>
          <w:lang w:val="es-MX"/>
        </w:rPr>
        <w:t>La respuesta institucional consiste en medir cómo se redistribuye el trabajo y reservar tiempo para interacción, creatividad, cuidado y deliberación La institución debe mantener canales alternativos y asegurar que elegirlos no implique menor validez, mayor costo ni demoras desproporcionadas. El avance puede examinarse mediante calidad, carga, autonomía, satisfacción, inclusión y efectos sobre el empleo Los acuerdos laborales y académicos deben acompañar cualquier rediseño de funciones. La mejora continua requiere conservar memoria de los problemas y verificar que no reaparezcan en versiones posteriores.</w:t>
      </w:r>
    </w:p>
    <w:p w14:paraId="4F95978C" w14:textId="2F882FFA" w:rsidR="002D33D8" w:rsidRPr="002D33D8" w:rsidRDefault="002D33D8" w:rsidP="002A3599">
      <w:pPr>
        <w:pStyle w:val="Ttulo3"/>
        <w:rPr>
          <w:lang w:val="es-MX"/>
        </w:rPr>
      </w:pPr>
      <w:bookmarkStart w:id="167" w:name="_Toc239441024"/>
      <w:r w:rsidRPr="002D33D8">
        <w:rPr>
          <w:lang w:val="es-MX"/>
        </w:rPr>
        <w:t>Currículos adaptativos, aprendizaje híbrido y presencia</w:t>
      </w:r>
      <w:bookmarkEnd w:id="167"/>
    </w:p>
    <w:p w14:paraId="38E3BC70" w14:textId="77777777" w:rsidR="002D33D8" w:rsidRPr="002D33D8" w:rsidRDefault="002D33D8" w:rsidP="002D33D8">
      <w:pPr>
        <w:rPr>
          <w:lang w:val="es-MX"/>
        </w:rPr>
      </w:pPr>
      <w:r w:rsidRPr="002D33D8">
        <w:rPr>
          <w:lang w:val="es-MX"/>
        </w:rPr>
        <w:t xml:space="preserve">Currículos adaptativos y modulares. En educación superior, la rapidez del cambio favorece programas capaces de actualizar contenidos y reconocer aprendizajes obtenidos en distintos momentos </w:t>
      </w:r>
      <w:proofErr w:type="spellStart"/>
      <w:r w:rsidRPr="002D33D8">
        <w:rPr>
          <w:lang w:val="es-MX"/>
        </w:rPr>
        <w:t>microcredenciales</w:t>
      </w:r>
      <w:proofErr w:type="spellEnd"/>
      <w:r w:rsidRPr="002D33D8">
        <w:rPr>
          <w:lang w:val="es-MX"/>
        </w:rPr>
        <w:t xml:space="preserve">, rutas flexibles y recomendaciones pueden facilitar formación </w:t>
      </w:r>
      <w:r w:rsidRPr="002D33D8">
        <w:rPr>
          <w:lang w:val="es-MX"/>
        </w:rPr>
        <w:lastRenderedPageBreak/>
        <w:t>durante la vida. La cuestión central consiste en saber si el diseño amplía opciones reales o si obliga a todos a ajustarse a un usuario idealizado. La personalización extrema amenaza experiencias comunes, coherencia curricular y oportunidades de encuentro con perspectivas inesperadas. La ausencia de una queja no prueba que la experiencia sea inclusiva, pues solicitar ayuda también puede resultar difícil o estigmatizante. Los ecosistemas digitales pueden apoyar trayectorias flexibles cuando existe gobernanza, interoperabilidad y capacidad institucional (OECD, 2023).</w:t>
      </w:r>
    </w:p>
    <w:p w14:paraId="13C0E1B8" w14:textId="77777777" w:rsidR="002D33D8" w:rsidRPr="002D33D8" w:rsidRDefault="002D33D8" w:rsidP="002D33D8">
      <w:pPr>
        <w:rPr>
          <w:lang w:val="es-MX"/>
        </w:rPr>
      </w:pPr>
      <w:r w:rsidRPr="002D33D8">
        <w:rPr>
          <w:lang w:val="es-MX"/>
        </w:rPr>
        <w:t>La respuesta institucional requiere combinar flexibilidad con resultados compartidos, orientación humana y revisión académica de las recomendaciones El apoyo debe llegar en el momento en que la barrera aparece, puesto que una corrección posterior no siempre repara la pérdida de aprendizaje. El avance puede examinarse mediante progresión, transferencia, equidad de rutas, reconocimiento y sentido de pertenencia Los consejos curriculares deben conservar autoridad sobre propósitos y evitar que el proveedor determine la secuencia educativa. La evidencia resultante debe orientar ajustes y comunicarse de forma comprensible a la comunidad.</w:t>
      </w:r>
    </w:p>
    <w:p w14:paraId="699FF8D4" w14:textId="77777777" w:rsidR="002D33D8" w:rsidRPr="002D33D8" w:rsidRDefault="002D33D8" w:rsidP="002D33D8">
      <w:pPr>
        <w:rPr>
          <w:lang w:val="es-MX"/>
        </w:rPr>
      </w:pPr>
      <w:r w:rsidRPr="002D33D8">
        <w:rPr>
          <w:lang w:val="es-MX"/>
        </w:rPr>
        <w:t>Aprendizaje híbrido y presencia. La universidad futura integrará espacios físicos y digitales de formas más complejas la IA puede facilitar preparación, traducción, simulación y continuidad, pero no elimina el valor del encuentro, la práctica situada y la vida comunitaria. La disponibilidad formal, por sí sola, no demuestra que el recurso pueda utilizarse de manera continua, autónoma y académicamente provechosa. Usar automatización para reducir contacto humano puede afectar especialmente a estudiantes que dependen de la institución para apoyo y pertenencia. Los promedios institucionales pueden ocultar diferencias sistemáticas entre territorios, grupos y modalidades de estudio. La tecnología educativa debe evaluarse por su contribución contextual y no por una presunta superioridad de lo digital (UNESCO, 2023).</w:t>
      </w:r>
    </w:p>
    <w:p w14:paraId="3919C491" w14:textId="77777777" w:rsidR="002D33D8" w:rsidRPr="002D33D8" w:rsidRDefault="002D33D8" w:rsidP="002D33D8">
      <w:pPr>
        <w:rPr>
          <w:lang w:val="es-MX"/>
        </w:rPr>
      </w:pPr>
      <w:r w:rsidRPr="002D33D8">
        <w:rPr>
          <w:lang w:val="es-MX"/>
        </w:rPr>
        <w:t>La respuesta institucional debe comenzar por diseñar modalidades desde objetivos, evidencia y necesidades diversas, manteniendo alternativas accesibles La comunidad afectada debe intervenir antes de cerrar requisitos y disponer de capacidad efectiva para proponer cambios. El avance puede examinarse mediante participación, aprendizaje, vínculos, bienestar, costos y diferencias entre grupos Cada programa debe decidir qué experiencias requieren presencia y cuáles ganan flexibilidad mediante mediación digital. El seguimiento permite saber si el apoyo reduce la barrera o si simplemente desplaza el problema hacia otra etapa.</w:t>
      </w:r>
    </w:p>
    <w:p w14:paraId="2C96C991" w14:textId="36ED6DDC" w:rsidR="002D33D8" w:rsidRPr="002D33D8" w:rsidRDefault="002D33D8" w:rsidP="002A3599">
      <w:pPr>
        <w:pStyle w:val="Ttulo3"/>
        <w:rPr>
          <w:lang w:val="es-MX"/>
        </w:rPr>
      </w:pPr>
      <w:bookmarkStart w:id="168" w:name="_Toc239441025"/>
      <w:r w:rsidRPr="002D33D8">
        <w:rPr>
          <w:lang w:val="es-MX"/>
        </w:rPr>
        <w:t>Investigación asistida y administración anticipatoria</w:t>
      </w:r>
      <w:bookmarkEnd w:id="168"/>
    </w:p>
    <w:p w14:paraId="2FBF7FD1" w14:textId="77777777" w:rsidR="002D33D8" w:rsidRPr="002D33D8" w:rsidRDefault="002D33D8" w:rsidP="002D33D8">
      <w:pPr>
        <w:rPr>
          <w:lang w:val="es-MX"/>
        </w:rPr>
      </w:pPr>
      <w:r w:rsidRPr="002D33D8">
        <w:rPr>
          <w:lang w:val="es-MX"/>
        </w:rPr>
        <w:t xml:space="preserve">Investigación asistida y ciencia abierta. La IA puede acelerar búsqueda, programación, análisis y comunicación científica también permite explorar grandes conjuntos de datos y apoyar colaboración multilingüe. La equidad exige valorar el recorrido completo y no solo confirmar que existe una cuenta, una aplicación o un punto de conexión. La generación de referencias falsas, la opacidad metodológica y la concentración de infraestructura amenazan reproducibilidad y </w:t>
      </w:r>
      <w:r w:rsidRPr="002D33D8">
        <w:rPr>
          <w:lang w:val="es-MX"/>
        </w:rPr>
        <w:lastRenderedPageBreak/>
        <w:t>diversidad epistémica. El objetivo educativo debe mantenerse visible para impedir que las exigencias de la herramienta sustituyan los resultados de aprendizaje. La IA generativa ofrece oportunidades científicas acompañadas por exigencias de verificación, transparencia y protección de datos (Miao &amp; Holmes, 2023).</w:t>
      </w:r>
    </w:p>
    <w:p w14:paraId="60973AFB" w14:textId="77777777" w:rsidR="002D33D8" w:rsidRPr="002D33D8" w:rsidRDefault="002D33D8" w:rsidP="002D33D8">
      <w:pPr>
        <w:rPr>
          <w:lang w:val="es-MX"/>
        </w:rPr>
      </w:pPr>
      <w:r w:rsidRPr="002D33D8">
        <w:rPr>
          <w:lang w:val="es-MX"/>
        </w:rPr>
        <w:t>La respuesta institucional se concreta al fortalecer trazabilidad, validación, documentación de modelos, repositorios y revisión experta La información sobre el servicio debe presentarse en lenguaje claro y explicar tanto sus posibilidades como las condiciones en las que puede fallar. El avance puede examinarse mediante reproducibilidad, errores, apertura, diversidad de fuentes y contribución humana Comités de ética, bibliotecas y oficinas de investigación deben adaptar sus orientaciones sin equiparar toda asistencia. Así, la inclusión se convierte en un criterio previo de calidad y no en una reparación excepcional.</w:t>
      </w:r>
    </w:p>
    <w:p w14:paraId="24BEA905" w14:textId="77777777" w:rsidR="002D33D8" w:rsidRPr="002D33D8" w:rsidRDefault="002D33D8" w:rsidP="002D33D8">
      <w:pPr>
        <w:rPr>
          <w:lang w:val="es-MX"/>
        </w:rPr>
      </w:pPr>
      <w:r w:rsidRPr="002D33D8">
        <w:rPr>
          <w:lang w:val="es-MX"/>
        </w:rPr>
        <w:t>Administración anticipatoria. Los servicios universitarios utilizarán analítica y asistentes para responder consultas, asignar recursos y detectar necesidades la integración puede reducir trámites y ofrecer atención continua cuando la información es correcta y existe escalamiento humano. La evaluación responsable debe observar la calidad de la experiencia, además del número de usuarios registrados por el sistema. La predicción puede etiquetar trayectorias, ampliar vigilancia o excluir casos que no se ajustan al patrón histórico. El acceso significativo exige capacidad de elección y no solamente aceptación de las condiciones definidas por el proveedor. La analítica educativa requiere considerar consentimiento, agencia y obligaciones de cuidado (Slade &amp; Prinsloo, 2013).</w:t>
      </w:r>
    </w:p>
    <w:p w14:paraId="4166E5A1" w14:textId="77777777" w:rsidR="002D33D8" w:rsidRPr="002D33D8" w:rsidRDefault="002D33D8" w:rsidP="002D33D8">
      <w:pPr>
        <w:rPr>
          <w:lang w:val="es-MX"/>
        </w:rPr>
      </w:pPr>
      <w:r w:rsidRPr="002D33D8">
        <w:rPr>
          <w:lang w:val="es-MX"/>
        </w:rPr>
        <w:t>La respuesta institucional consiste en limitar finalidades, mantener canales humanos, evaluar errores distributivos y permitir corrección de datos La decisión necesita reflejarse en contratación, currículo, soporte y formación del personal para no depender de iniciativas aisladas. El avance puede examinarse mediante resolución, abandono, falsos avisos, apelaciones, privacidad y experiencia estudiantil La eficiencia administrativa debe subordinarse al acceso a derechos y a la misión educativa. La revisión periódica protege la dignidad y distribuye institucionalmente la responsabilidad por los resultados.</w:t>
      </w:r>
    </w:p>
    <w:p w14:paraId="23842FE6" w14:textId="10E0FD3A" w:rsidR="002D33D8" w:rsidRPr="002D33D8" w:rsidRDefault="002D33D8" w:rsidP="002A3599">
      <w:pPr>
        <w:pStyle w:val="Ttulo3"/>
        <w:rPr>
          <w:lang w:val="es-MX"/>
        </w:rPr>
      </w:pPr>
      <w:r w:rsidRPr="002D33D8">
        <w:rPr>
          <w:lang w:val="es-MX"/>
        </w:rPr>
        <w:t xml:space="preserve"> </w:t>
      </w:r>
      <w:bookmarkStart w:id="169" w:name="_Toc239441026"/>
      <w:r w:rsidRPr="002D33D8">
        <w:rPr>
          <w:lang w:val="es-MX"/>
        </w:rPr>
        <w:t>Trabajo académico, misión pública y soberanía tecnológica</w:t>
      </w:r>
      <w:bookmarkEnd w:id="169"/>
    </w:p>
    <w:p w14:paraId="212E5F4D" w14:textId="77777777" w:rsidR="002D33D8" w:rsidRPr="002D33D8" w:rsidRDefault="002D33D8" w:rsidP="002D33D8">
      <w:pPr>
        <w:rPr>
          <w:lang w:val="es-MX"/>
        </w:rPr>
      </w:pPr>
      <w:r w:rsidRPr="002D33D8">
        <w:rPr>
          <w:lang w:val="es-MX"/>
        </w:rPr>
        <w:t xml:space="preserve">Transformación del trabajo académico. En educación superior, la </w:t>
      </w:r>
      <w:proofErr w:type="spellStart"/>
      <w:r w:rsidRPr="002D33D8">
        <w:rPr>
          <w:lang w:val="es-MX"/>
        </w:rPr>
        <w:t>ia</w:t>
      </w:r>
      <w:proofErr w:type="spellEnd"/>
      <w:r w:rsidRPr="002D33D8">
        <w:rPr>
          <w:lang w:val="es-MX"/>
        </w:rPr>
        <w:t xml:space="preserve"> modificará la distribución entre producción, revisión, acompañamiento y gestión algunas tareas rutinarias disminuirán, mientras crecerán la verificación, el diseño, la evaluación y la explicación de decisiones. La experiencia concreta revela diferencias que suelen desaparecer cuando la institución observa únicamente cifras agregadas. Si el ahorro se utiliza solo para reducir personal, la universidad pierde conocimiento tácito y capacidad de relación. Las ventajas prometidas necesitan compararse con los costos de participación, privacidad, aprendizaje y soporte que soportan distintos grupos. </w:t>
      </w:r>
      <w:r w:rsidRPr="002D33D8">
        <w:rPr>
          <w:lang w:val="es-MX"/>
        </w:rPr>
        <w:lastRenderedPageBreak/>
        <w:t xml:space="preserve">La discusión sobre IA y profesiones académicas necesita preservar libertad académica, calidad y condiciones de trabajo (American </w:t>
      </w:r>
      <w:proofErr w:type="spellStart"/>
      <w:r w:rsidRPr="002D33D8">
        <w:rPr>
          <w:lang w:val="es-MX"/>
        </w:rPr>
        <w:t>Association</w:t>
      </w:r>
      <w:proofErr w:type="spellEnd"/>
      <w:r w:rsidRPr="002D33D8">
        <w:rPr>
          <w:lang w:val="es-MX"/>
        </w:rPr>
        <w:t xml:space="preserve"> </w:t>
      </w:r>
      <w:proofErr w:type="spellStart"/>
      <w:r w:rsidRPr="002D33D8">
        <w:rPr>
          <w:lang w:val="es-MX"/>
        </w:rPr>
        <w:t>of</w:t>
      </w:r>
      <w:proofErr w:type="spellEnd"/>
      <w:r w:rsidRPr="002D33D8">
        <w:rPr>
          <w:lang w:val="es-MX"/>
        </w:rPr>
        <w:t xml:space="preserve"> </w:t>
      </w:r>
      <w:proofErr w:type="spellStart"/>
      <w:r w:rsidRPr="002D33D8">
        <w:rPr>
          <w:lang w:val="es-MX"/>
        </w:rPr>
        <w:t>University</w:t>
      </w:r>
      <w:proofErr w:type="spellEnd"/>
      <w:r w:rsidRPr="002D33D8">
        <w:rPr>
          <w:lang w:val="es-MX"/>
        </w:rPr>
        <w:t xml:space="preserve"> </w:t>
      </w:r>
      <w:proofErr w:type="spellStart"/>
      <w:r w:rsidRPr="002D33D8">
        <w:rPr>
          <w:lang w:val="es-MX"/>
        </w:rPr>
        <w:t>Professors</w:t>
      </w:r>
      <w:proofErr w:type="spellEnd"/>
      <w:r w:rsidRPr="002D33D8">
        <w:rPr>
          <w:lang w:val="es-MX"/>
        </w:rPr>
        <w:t>, 2025).</w:t>
      </w:r>
    </w:p>
    <w:p w14:paraId="0B0AD129" w14:textId="77777777" w:rsidR="002D33D8" w:rsidRPr="002D33D8" w:rsidRDefault="002D33D8" w:rsidP="002D33D8">
      <w:pPr>
        <w:rPr>
          <w:lang w:val="es-MX"/>
        </w:rPr>
      </w:pPr>
      <w:r w:rsidRPr="002D33D8">
        <w:rPr>
          <w:lang w:val="es-MX"/>
        </w:rPr>
        <w:t>La respuesta institucional requiere negociar cambios, actualizar perfiles, proteger autonomía y ofrecer reconversión antes de modificar puestos Conviene probar la solución en contextos diversos, documentar sus límites y conservar una alternativa equivalente mientras se corrigen problemas. El avance puede examinarse mediante carga, calidad, empleo, salud, competencias y efectos por categoría laboral La gobernanza debe incluir organizaciones de trabajadores y reconocer impactos diferentes en personal temporal o externalizado. Los hallazgos deben vincularse con decisiones presupuestarias y no limitarse a un informe descriptivo.</w:t>
      </w:r>
    </w:p>
    <w:p w14:paraId="3906D09C" w14:textId="77777777" w:rsidR="002D33D8" w:rsidRPr="002D33D8" w:rsidRDefault="002D33D8" w:rsidP="002D33D8">
      <w:pPr>
        <w:rPr>
          <w:lang w:val="es-MX"/>
        </w:rPr>
      </w:pPr>
      <w:r w:rsidRPr="002D33D8">
        <w:rPr>
          <w:lang w:val="es-MX"/>
        </w:rPr>
        <w:t>Misión pública y producción de conocimiento. La universidad puede utilizar IA para ampliar acceso a conocimiento, apoyar políticas y colaborar con comunidades su legitimidad depende de que los beneficios no queden restringidos a instituciones con mayor capacidad de compra. Las barreras pueden ser permanentes, temporales o situacionales, y con frecuencia se acumulan durante una misma trayectoria académica. La adopción acrítica puede reforzar dependencia tecnológica y desplazar lenguas, problemas y saberes locales. Las consecuencias deben analizarse durante todo el ciclo de vida, porque una actualización puede modificar costos, requisitos o accesibilidad. El futuro digital debe orientarse hacia inclusión, derechos y bienes públicos mediante cooperación entre múltiples actores (Naciones Unidas, 2024; UNESCO, 2021).</w:t>
      </w:r>
    </w:p>
    <w:p w14:paraId="557DCBC9" w14:textId="77777777" w:rsidR="002D33D8" w:rsidRPr="002D33D8" w:rsidRDefault="002D33D8" w:rsidP="002D33D8">
      <w:pPr>
        <w:rPr>
          <w:lang w:val="es-MX"/>
        </w:rPr>
      </w:pPr>
      <w:r w:rsidRPr="002D33D8">
        <w:rPr>
          <w:lang w:val="es-MX"/>
        </w:rPr>
        <w:t>La respuesta institucional debe comenzar por invertir en recursos abiertos, investigación contextual, infraestructuras compartidas y participación social El diseño debe combinar una base universal con ajustes específicos, de modo que la ayuda responda a barreras reales sin estigmatizar. El avance puede examinarse mediante acceso público, relevancia territorial, diversidad lingüística, colaboración y capacidades instaladas Las universidades latinoamericanas deben articular cooperación regional para negociar y producir alternativas. La transparencia sobre avances y pendientes favorece confianza, aprendizaje organizacional y rendición de cuentas.</w:t>
      </w:r>
    </w:p>
    <w:p w14:paraId="55FFB310" w14:textId="46ECD072" w:rsidR="002D33D8" w:rsidRPr="002D33D8" w:rsidRDefault="002D33D8" w:rsidP="002A3599">
      <w:pPr>
        <w:pStyle w:val="Ttulo3"/>
        <w:rPr>
          <w:lang w:val="es-MX"/>
        </w:rPr>
      </w:pPr>
      <w:bookmarkStart w:id="170" w:name="_Toc239441027"/>
      <w:r w:rsidRPr="002D33D8">
        <w:rPr>
          <w:lang w:val="es-MX"/>
        </w:rPr>
        <w:t>Interoperabilidad, futuros plurales y hoja de ruta adaptable</w:t>
      </w:r>
      <w:bookmarkEnd w:id="170"/>
    </w:p>
    <w:p w14:paraId="4D854CDF" w14:textId="77777777" w:rsidR="002D33D8" w:rsidRPr="002D33D8" w:rsidRDefault="002D33D8" w:rsidP="002D33D8">
      <w:pPr>
        <w:rPr>
          <w:lang w:val="es-MX"/>
        </w:rPr>
      </w:pPr>
      <w:r w:rsidRPr="002D33D8">
        <w:rPr>
          <w:lang w:val="es-MX"/>
        </w:rPr>
        <w:t>Soberanía e interoperabilidad. La capacidad de cambiar proveedor y conservar datos, contenidos y procesos es estratégica formatos abiertos, interfaces documentadas y competencias internas reducen dependencia y facilitan colaboración. El análisis debe considerar quién accede, desde qué entorno, con cuánto tiempo, a qué costo y con qué posibilidades de solicitar ayuda. Una infraestructura cerrada puede condicionar currículo, investigación y presupuesto durante años. Si esta desigualdad se atribuye al esfuerzo individual, la organización evita examinar las decisiones que producen o agravan la desventaja. Los ecosistemas digitales eficaces requieren interoperabilidad, gobernanza de datos y capacidad pública (OECD, 2023).</w:t>
      </w:r>
    </w:p>
    <w:p w14:paraId="0DE2DB9C" w14:textId="77777777" w:rsidR="002D33D8" w:rsidRPr="002D33D8" w:rsidRDefault="002D33D8" w:rsidP="002D33D8">
      <w:pPr>
        <w:rPr>
          <w:lang w:val="es-MX"/>
        </w:rPr>
      </w:pPr>
      <w:r w:rsidRPr="002D33D8">
        <w:rPr>
          <w:lang w:val="es-MX"/>
        </w:rPr>
        <w:lastRenderedPageBreak/>
        <w:t>La respuesta institucional se concreta al priorizar portabilidad, estándares, arquitectura modular, conocimiento interno y planes de salida probados La medida ha de ofrecerse sin trámites innecesarios y sin obligar al estudiante a revelar repetidamente una condición sensible. El avance puede examinarse mediante concentración, tiempo de migración, datos exportables, continuidad y costos de sustitución Las decisiones nacionales e institucionales deben equilibrar autonomía, seguridad, escala y cooperación internacional. Una mejora demostrable combina desempeño técnico, experiencia de usuario y efectos educativos.</w:t>
      </w:r>
    </w:p>
    <w:p w14:paraId="530FA5EB" w14:textId="39D732D2" w:rsidR="002D33D8" w:rsidRPr="002D33D8" w:rsidRDefault="002D33D8" w:rsidP="002D33D8">
      <w:pPr>
        <w:rPr>
          <w:lang w:val="es-MX"/>
        </w:rPr>
      </w:pPr>
      <w:r w:rsidRPr="002D33D8">
        <w:rPr>
          <w:b/>
          <w:bCs/>
          <w:lang w:val="es-MX"/>
        </w:rPr>
        <w:t xml:space="preserve">Tabla </w:t>
      </w:r>
      <w:r w:rsidR="00FA6F60">
        <w:rPr>
          <w:b/>
          <w:bCs/>
          <w:lang w:val="es-MX"/>
        </w:rPr>
        <w:t>7</w:t>
      </w:r>
      <w:r w:rsidRPr="002D33D8">
        <w:rPr>
          <w:b/>
          <w:bCs/>
          <w:lang w:val="es-MX"/>
        </w:rPr>
        <w:t>.4. Escenarios futuros y decisiones estratégicas</w:t>
      </w:r>
    </w:p>
    <w:tbl>
      <w:tblPr>
        <w:tblStyle w:val="Tablanormal2"/>
        <w:tblW w:w="8392" w:type="dxa"/>
        <w:tblLook w:val="04A0" w:firstRow="1" w:lastRow="0" w:firstColumn="1" w:lastColumn="0" w:noHBand="0" w:noVBand="1"/>
      </w:tblPr>
      <w:tblGrid>
        <w:gridCol w:w="2098"/>
        <w:gridCol w:w="2098"/>
        <w:gridCol w:w="2098"/>
        <w:gridCol w:w="2098"/>
      </w:tblGrid>
      <w:tr w:rsidR="002D33D8" w:rsidRPr="002D33D8" w14:paraId="3F41A05C" w14:textId="77777777" w:rsidTr="002A35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A5D15B2" w14:textId="77777777" w:rsidR="002D33D8" w:rsidRPr="002A3599" w:rsidRDefault="002D33D8" w:rsidP="002A3599">
            <w:pPr>
              <w:spacing w:before="0" w:after="0" w:line="240" w:lineRule="auto"/>
              <w:jc w:val="center"/>
              <w:rPr>
                <w:sz w:val="20"/>
                <w:szCs w:val="20"/>
                <w:lang w:val="es-MX"/>
              </w:rPr>
            </w:pPr>
            <w:r w:rsidRPr="002A3599">
              <w:rPr>
                <w:sz w:val="20"/>
                <w:szCs w:val="20"/>
                <w:lang w:val="es-MX"/>
              </w:rPr>
              <w:t>Escenario</w:t>
            </w:r>
          </w:p>
        </w:tc>
        <w:tc>
          <w:tcPr>
            <w:tcW w:w="2098" w:type="dxa"/>
            <w:vAlign w:val="center"/>
            <w:hideMark/>
          </w:tcPr>
          <w:p w14:paraId="001601AB"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Oportunidad</w:t>
            </w:r>
          </w:p>
        </w:tc>
        <w:tc>
          <w:tcPr>
            <w:tcW w:w="2098" w:type="dxa"/>
            <w:vAlign w:val="center"/>
            <w:hideMark/>
          </w:tcPr>
          <w:p w14:paraId="674AB2D8"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Riesgo</w:t>
            </w:r>
          </w:p>
        </w:tc>
        <w:tc>
          <w:tcPr>
            <w:tcW w:w="2098" w:type="dxa"/>
            <w:vAlign w:val="center"/>
            <w:hideMark/>
          </w:tcPr>
          <w:p w14:paraId="37BBEB60" w14:textId="77777777" w:rsidR="002D33D8" w:rsidRPr="002A3599" w:rsidRDefault="002D33D8" w:rsidP="002A359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Decisión robusta</w:t>
            </w:r>
          </w:p>
        </w:tc>
      </w:tr>
      <w:tr w:rsidR="002D33D8" w:rsidRPr="002D33D8" w14:paraId="7199B59F"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53B1C522" w14:textId="77777777" w:rsidR="002D33D8" w:rsidRPr="002A3599" w:rsidRDefault="002D33D8" w:rsidP="002A3599">
            <w:pPr>
              <w:spacing w:before="0" w:after="0" w:line="240" w:lineRule="auto"/>
              <w:rPr>
                <w:sz w:val="20"/>
                <w:szCs w:val="20"/>
                <w:lang w:val="es-MX"/>
              </w:rPr>
            </w:pPr>
            <w:r w:rsidRPr="002A3599">
              <w:rPr>
                <w:sz w:val="20"/>
                <w:szCs w:val="20"/>
                <w:lang w:val="es-MX"/>
              </w:rPr>
              <w:t>Universidad aumentada</w:t>
            </w:r>
          </w:p>
        </w:tc>
        <w:tc>
          <w:tcPr>
            <w:tcW w:w="2098" w:type="dxa"/>
            <w:vAlign w:val="center"/>
            <w:hideMark/>
          </w:tcPr>
          <w:p w14:paraId="65E48FC7"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Liberar tiempo para interacción y creatividad</w:t>
            </w:r>
          </w:p>
        </w:tc>
        <w:tc>
          <w:tcPr>
            <w:tcW w:w="2098" w:type="dxa"/>
            <w:vAlign w:val="center"/>
            <w:hideMark/>
          </w:tcPr>
          <w:p w14:paraId="0C6CAAC0"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Intensificación y dependencia</w:t>
            </w:r>
          </w:p>
        </w:tc>
        <w:tc>
          <w:tcPr>
            <w:tcW w:w="2098" w:type="dxa"/>
            <w:vAlign w:val="center"/>
            <w:hideMark/>
          </w:tcPr>
          <w:p w14:paraId="3FDF38FA"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Medir redistribución del trabajo</w:t>
            </w:r>
          </w:p>
        </w:tc>
      </w:tr>
      <w:tr w:rsidR="002D33D8" w:rsidRPr="002D33D8" w14:paraId="5CBEBC7A" w14:textId="77777777" w:rsidTr="002A3599">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30D976B2" w14:textId="77777777" w:rsidR="002D33D8" w:rsidRPr="002A3599" w:rsidRDefault="002D33D8" w:rsidP="002A3599">
            <w:pPr>
              <w:spacing w:before="0" w:after="0" w:line="240" w:lineRule="auto"/>
              <w:rPr>
                <w:sz w:val="20"/>
                <w:szCs w:val="20"/>
                <w:lang w:val="es-MX"/>
              </w:rPr>
            </w:pPr>
            <w:r w:rsidRPr="002A3599">
              <w:rPr>
                <w:sz w:val="20"/>
                <w:szCs w:val="20"/>
                <w:lang w:val="es-MX"/>
              </w:rPr>
              <w:t>Currículos adaptativos</w:t>
            </w:r>
          </w:p>
        </w:tc>
        <w:tc>
          <w:tcPr>
            <w:tcW w:w="2098" w:type="dxa"/>
            <w:vAlign w:val="center"/>
            <w:hideMark/>
          </w:tcPr>
          <w:p w14:paraId="21AB4DBA"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Actualizar rutas y reconocer aprendizajes</w:t>
            </w:r>
          </w:p>
        </w:tc>
        <w:tc>
          <w:tcPr>
            <w:tcW w:w="2098" w:type="dxa"/>
            <w:vAlign w:val="center"/>
            <w:hideMark/>
          </w:tcPr>
          <w:p w14:paraId="43D1A1DA"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Fragmentación y recomendaciones opacas</w:t>
            </w:r>
          </w:p>
        </w:tc>
        <w:tc>
          <w:tcPr>
            <w:tcW w:w="2098" w:type="dxa"/>
            <w:vAlign w:val="center"/>
            <w:hideMark/>
          </w:tcPr>
          <w:p w14:paraId="5C3AF465"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Mantener resultados comunes y orientación</w:t>
            </w:r>
          </w:p>
        </w:tc>
      </w:tr>
      <w:tr w:rsidR="002D33D8" w:rsidRPr="002D33D8" w14:paraId="592CCEE2"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1C5182D8" w14:textId="77777777" w:rsidR="002D33D8" w:rsidRPr="002A3599" w:rsidRDefault="002D33D8" w:rsidP="002A3599">
            <w:pPr>
              <w:spacing w:before="0" w:after="0" w:line="240" w:lineRule="auto"/>
              <w:rPr>
                <w:sz w:val="20"/>
                <w:szCs w:val="20"/>
                <w:lang w:val="es-MX"/>
              </w:rPr>
            </w:pPr>
            <w:r w:rsidRPr="002A3599">
              <w:rPr>
                <w:sz w:val="20"/>
                <w:szCs w:val="20"/>
                <w:lang w:val="es-MX"/>
              </w:rPr>
              <w:t>Ciencia asistida</w:t>
            </w:r>
          </w:p>
        </w:tc>
        <w:tc>
          <w:tcPr>
            <w:tcW w:w="2098" w:type="dxa"/>
            <w:vAlign w:val="center"/>
            <w:hideMark/>
          </w:tcPr>
          <w:p w14:paraId="7E1548DE"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Acelerar búsqueda y análisis</w:t>
            </w:r>
          </w:p>
        </w:tc>
        <w:tc>
          <w:tcPr>
            <w:tcW w:w="2098" w:type="dxa"/>
            <w:vAlign w:val="center"/>
            <w:hideMark/>
          </w:tcPr>
          <w:p w14:paraId="119979E4"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Errores, opacidad y concentración</w:t>
            </w:r>
          </w:p>
        </w:tc>
        <w:tc>
          <w:tcPr>
            <w:tcW w:w="2098" w:type="dxa"/>
            <w:vAlign w:val="center"/>
            <w:hideMark/>
          </w:tcPr>
          <w:p w14:paraId="47E5E270"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Fortalecer trazabilidad y revisión experta</w:t>
            </w:r>
          </w:p>
        </w:tc>
      </w:tr>
      <w:tr w:rsidR="002D33D8" w:rsidRPr="002D33D8" w14:paraId="7AD9AA0F" w14:textId="77777777" w:rsidTr="002A3599">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27099908" w14:textId="77777777" w:rsidR="002D33D8" w:rsidRPr="002A3599" w:rsidRDefault="002D33D8" w:rsidP="002A3599">
            <w:pPr>
              <w:spacing w:before="0" w:after="0" w:line="240" w:lineRule="auto"/>
              <w:rPr>
                <w:sz w:val="20"/>
                <w:szCs w:val="20"/>
                <w:lang w:val="es-MX"/>
              </w:rPr>
            </w:pPr>
            <w:r w:rsidRPr="002A3599">
              <w:rPr>
                <w:sz w:val="20"/>
                <w:szCs w:val="20"/>
                <w:lang w:val="es-MX"/>
              </w:rPr>
              <w:t>Administración anticipatoria</w:t>
            </w:r>
          </w:p>
        </w:tc>
        <w:tc>
          <w:tcPr>
            <w:tcW w:w="2098" w:type="dxa"/>
            <w:vAlign w:val="center"/>
            <w:hideMark/>
          </w:tcPr>
          <w:p w14:paraId="36409515"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Responder necesidades con oportunidad</w:t>
            </w:r>
          </w:p>
        </w:tc>
        <w:tc>
          <w:tcPr>
            <w:tcW w:w="2098" w:type="dxa"/>
            <w:vAlign w:val="center"/>
            <w:hideMark/>
          </w:tcPr>
          <w:p w14:paraId="66A423EA"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Vigilancia y exclusión</w:t>
            </w:r>
          </w:p>
        </w:tc>
        <w:tc>
          <w:tcPr>
            <w:tcW w:w="2098" w:type="dxa"/>
            <w:vAlign w:val="center"/>
            <w:hideMark/>
          </w:tcPr>
          <w:p w14:paraId="4202A751" w14:textId="77777777" w:rsidR="002D33D8" w:rsidRPr="002A3599" w:rsidRDefault="002D33D8" w:rsidP="002A3599">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lang w:val="es-MX"/>
              </w:rPr>
            </w:pPr>
            <w:r w:rsidRPr="002A3599">
              <w:rPr>
                <w:sz w:val="20"/>
                <w:szCs w:val="20"/>
                <w:lang w:val="es-MX"/>
              </w:rPr>
              <w:t>Limitar finalidad y conservar canales humanos</w:t>
            </w:r>
          </w:p>
        </w:tc>
      </w:tr>
      <w:tr w:rsidR="002D33D8" w:rsidRPr="002D33D8" w14:paraId="62D59231" w14:textId="77777777" w:rsidTr="002A3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8" w:type="dxa"/>
            <w:vAlign w:val="center"/>
            <w:hideMark/>
          </w:tcPr>
          <w:p w14:paraId="0B5E0746" w14:textId="77777777" w:rsidR="002D33D8" w:rsidRPr="002A3599" w:rsidRDefault="002D33D8" w:rsidP="002A3599">
            <w:pPr>
              <w:spacing w:before="0" w:after="0" w:line="240" w:lineRule="auto"/>
              <w:rPr>
                <w:sz w:val="20"/>
                <w:szCs w:val="20"/>
                <w:lang w:val="es-MX"/>
              </w:rPr>
            </w:pPr>
            <w:r w:rsidRPr="002A3599">
              <w:rPr>
                <w:sz w:val="20"/>
                <w:szCs w:val="20"/>
                <w:lang w:val="es-MX"/>
              </w:rPr>
              <w:t>Soberanía tecnológica</w:t>
            </w:r>
          </w:p>
        </w:tc>
        <w:tc>
          <w:tcPr>
            <w:tcW w:w="2098" w:type="dxa"/>
            <w:vAlign w:val="center"/>
            <w:hideMark/>
          </w:tcPr>
          <w:p w14:paraId="3149CBCB"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Portabilidad y cooperación</w:t>
            </w:r>
          </w:p>
        </w:tc>
        <w:tc>
          <w:tcPr>
            <w:tcW w:w="2098" w:type="dxa"/>
            <w:vAlign w:val="center"/>
            <w:hideMark/>
          </w:tcPr>
          <w:p w14:paraId="771BE988"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Bloqueo de proveedor y pérdida de capacidad</w:t>
            </w:r>
          </w:p>
        </w:tc>
        <w:tc>
          <w:tcPr>
            <w:tcW w:w="2098" w:type="dxa"/>
            <w:vAlign w:val="center"/>
            <w:hideMark/>
          </w:tcPr>
          <w:p w14:paraId="04DB0EDB" w14:textId="77777777" w:rsidR="002D33D8" w:rsidRPr="002A3599" w:rsidRDefault="002D33D8" w:rsidP="002A3599">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lang w:val="es-MX"/>
              </w:rPr>
            </w:pPr>
            <w:r w:rsidRPr="002A3599">
              <w:rPr>
                <w:sz w:val="20"/>
                <w:szCs w:val="20"/>
                <w:lang w:val="es-MX"/>
              </w:rPr>
              <w:t>Estándares abiertos y planes de salida</w:t>
            </w:r>
          </w:p>
        </w:tc>
      </w:tr>
    </w:tbl>
    <w:p w14:paraId="36564934" w14:textId="77777777" w:rsidR="002D33D8" w:rsidRPr="002D33D8" w:rsidRDefault="002D33D8" w:rsidP="002D33D8">
      <w:pPr>
        <w:rPr>
          <w:lang w:val="es-MX"/>
        </w:rPr>
      </w:pPr>
      <w:r w:rsidRPr="002D33D8">
        <w:rPr>
          <w:i/>
          <w:iCs/>
          <w:lang w:val="es-MX"/>
        </w:rPr>
        <w:t>Fuente: elaboración propia a partir de las referencias citadas en el apartado.</w:t>
      </w:r>
    </w:p>
    <w:p w14:paraId="27431CD8" w14:textId="77777777" w:rsidR="002D33D8" w:rsidRPr="002D33D8" w:rsidRDefault="002D33D8" w:rsidP="002D33D8">
      <w:pPr>
        <w:rPr>
          <w:lang w:val="es-MX"/>
        </w:rPr>
      </w:pPr>
      <w:r w:rsidRPr="002D33D8">
        <w:rPr>
          <w:lang w:val="es-MX"/>
        </w:rPr>
        <w:t>Futuros plurales e inclusión. Los beneficios de la IA no se distribuirán automáticamente la conectividad, la accesibilidad, la lengua, el ingreso y la capacidad institucional condicionarán quién participa en los nuevos modelos. En este ámbito, las condiciones materiales y las decisiones pedagógicas se refuerzan mutuamente y determinan la participación posible. Una universidad tecnológicamente avanzada puede seguir siendo excluyente si convierte recursos privados en requisitos académicos. La responsabilidad corresponde a la institución que selecciona y organiza el recurso, no solo a la persona que intenta adaptarse a él. La inclusión exige transformar sistemas y anticipar cómo la tecnología interactúa con desigualdades existentes (UNESCO, 2020, 2023).</w:t>
      </w:r>
    </w:p>
    <w:p w14:paraId="54B652D9" w14:textId="77777777" w:rsidR="002D33D8" w:rsidRPr="002D33D8" w:rsidRDefault="002D33D8" w:rsidP="002D33D8">
      <w:pPr>
        <w:rPr>
          <w:lang w:val="es-MX"/>
        </w:rPr>
      </w:pPr>
      <w:r w:rsidRPr="002D33D8">
        <w:rPr>
          <w:lang w:val="es-MX"/>
        </w:rPr>
        <w:t>La respuesta institucional consiste en incorporar justicia distributiva y accesibilidad en cada escenario, presupuesto y criterio de éxito Su aplicación requiere coordinar docencia, tecnología, bienestar, bibliotecas y gestión, pues ninguna unidad controla por sí sola toda la experiencia. El avance puede examinarse mediante brechas de acceso, resultados, participación, costos y capacidad de elección Las voces de grupos históricamente marginados deben intervenir en la definición del futuro deseable. Este procedimiento permite abandonar soluciones ineficaces antes de que su uso se vuelva una obligación informal.</w:t>
      </w:r>
    </w:p>
    <w:p w14:paraId="71953A80" w14:textId="77777777" w:rsidR="002D33D8" w:rsidRPr="002D33D8" w:rsidRDefault="002D33D8" w:rsidP="002D33D8">
      <w:pPr>
        <w:rPr>
          <w:lang w:val="es-MX"/>
        </w:rPr>
      </w:pPr>
      <w:r w:rsidRPr="002D33D8">
        <w:rPr>
          <w:lang w:val="es-MX"/>
        </w:rPr>
        <w:t xml:space="preserve">Hoja de ruta adaptable. En educación superior, la preparación para el futuro necesita decisiones escalonadas, reversibles y evaluables una hoja de ruta conecta visión, capacidades, proyectos, </w:t>
      </w:r>
      <w:r w:rsidRPr="002D33D8">
        <w:rPr>
          <w:lang w:val="es-MX"/>
        </w:rPr>
        <w:lastRenderedPageBreak/>
        <w:t>indicadores y momentos de revisión sin suponer que todos los cambios ocurren a la vez. El contexto convierte una misma función en apoyo para unas personas y en obstáculo para otras, por lo que las conclusiones generales necesitan contraste local. Los planes rígidos quedan obsoletos, mientras los planes sin compromisos convierten la estrategia en discurso. Una intervención apresurada corre el riesgo de digitalizar una exclusión previa y otorgarle una apariencia de eficiencia. La gestión responsable de IA es iterativa y combina gobierno, mapeo, medición y tratamiento del riesgo (Tabassi, 2023).</w:t>
      </w:r>
    </w:p>
    <w:p w14:paraId="04F24161" w14:textId="77777777" w:rsidR="002D33D8" w:rsidRPr="002D33D8" w:rsidRDefault="002D33D8" w:rsidP="002D33D8">
      <w:pPr>
        <w:rPr>
          <w:lang w:val="es-MX"/>
        </w:rPr>
      </w:pPr>
      <w:r w:rsidRPr="002D33D8">
        <w:rPr>
          <w:lang w:val="es-MX"/>
        </w:rPr>
        <w:t>La respuesta institucional requiere priorizar fundamentos, realizar pilotos, escalar con evidencia y mantener recursos para corregir o retirarse La acción debe incorporarse a la planificación ordinaria, con presupuesto, responsables, plazos y una vía accesible para comunicar dificultades. El avance puede examinarse mediante hitos, beneficios, riesgos, aprendizaje, equidad y coherencia con la misión El órgano de gobierno debe revisar señales del entorno y publicar por qué mantiene o modifica la dirección. La meta es ampliar capacidades y opciones reales, no alcanzar una cifra de adopción desvinculada del aprendizaje.</w:t>
      </w:r>
    </w:p>
    <w:p w14:paraId="361CC395" w14:textId="5080B4AC" w:rsidR="00B14B0C" w:rsidRPr="002D33D8" w:rsidRDefault="009A1944" w:rsidP="00E07579">
      <w:pPr>
        <w:rPr>
          <w:lang w:val="es-MX"/>
        </w:rPr>
      </w:pPr>
      <w:r>
        <w:rPr>
          <w:noProof/>
          <w:lang w:val="es-MX"/>
        </w:rPr>
        <w:drawing>
          <wp:inline distT="0" distB="0" distL="0" distR="0" wp14:anchorId="74A014E1" wp14:editId="441B1A04">
            <wp:extent cx="5400040" cy="3574674"/>
            <wp:effectExtent l="0" t="0" r="0" b="6985"/>
            <wp:docPr id="17971678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00040" cy="3574674"/>
                    </a:xfrm>
                    <a:prstGeom prst="rect">
                      <a:avLst/>
                    </a:prstGeom>
                    <a:noFill/>
                    <a:ln>
                      <a:noFill/>
                    </a:ln>
                  </pic:spPr>
                </pic:pic>
              </a:graphicData>
            </a:graphic>
          </wp:inline>
        </w:drawing>
      </w:r>
    </w:p>
    <w:p w14:paraId="005298DB" w14:textId="01D44D0C" w:rsidR="00CA484D" w:rsidRDefault="00CA484D">
      <w:pPr>
        <w:spacing w:before="0" w:after="160" w:line="278" w:lineRule="auto"/>
        <w:jc w:val="left"/>
        <w:rPr>
          <w:lang w:val="es-MX"/>
        </w:rPr>
      </w:pPr>
      <w:r>
        <w:rPr>
          <w:lang w:val="es-MX"/>
        </w:rPr>
        <w:br w:type="page"/>
      </w:r>
    </w:p>
    <w:p w14:paraId="37311B2C" w14:textId="77777777" w:rsidR="00CA484D" w:rsidRPr="00945DBC" w:rsidRDefault="00CA484D" w:rsidP="00CA484D">
      <w:pPr>
        <w:rPr>
          <w:lang w:val="en-US"/>
        </w:rPr>
      </w:pPr>
      <w:proofErr w:type="spellStart"/>
      <w:r w:rsidRPr="00945DBC">
        <w:rPr>
          <w:b/>
          <w:bCs/>
          <w:lang w:val="en-US"/>
        </w:rPr>
        <w:lastRenderedPageBreak/>
        <w:t>Referencias</w:t>
      </w:r>
      <w:proofErr w:type="spellEnd"/>
      <w:r w:rsidRPr="00945DBC">
        <w:rPr>
          <w:b/>
          <w:bCs/>
          <w:lang w:val="en-US"/>
        </w:rPr>
        <w:t xml:space="preserve"> </w:t>
      </w:r>
      <w:proofErr w:type="spellStart"/>
      <w:r w:rsidRPr="00945DBC">
        <w:rPr>
          <w:b/>
          <w:bCs/>
          <w:lang w:val="en-US"/>
        </w:rPr>
        <w:t>bibliográficas</w:t>
      </w:r>
      <w:proofErr w:type="spellEnd"/>
    </w:p>
    <w:p w14:paraId="71EC2E50" w14:textId="77777777" w:rsidR="00CA484D" w:rsidRPr="00945DBC" w:rsidRDefault="00CA484D" w:rsidP="00CA484D">
      <w:pPr>
        <w:rPr>
          <w:lang w:val="en-US"/>
        </w:rPr>
      </w:pPr>
      <w:r w:rsidRPr="00945DBC">
        <w:rPr>
          <w:lang w:val="en-US"/>
        </w:rPr>
        <w:t xml:space="preserve">Almasri, A. (2024). A systematic review of AI-powered personalized feedback systems in higher education. </w:t>
      </w:r>
      <w:r w:rsidRPr="00945DBC">
        <w:rPr>
          <w:i/>
          <w:iCs/>
          <w:lang w:val="en-US"/>
        </w:rPr>
        <w:t>Computers and Education: Artificial Intelligence, 6</w:t>
      </w:r>
      <w:r w:rsidRPr="00945DBC">
        <w:rPr>
          <w:lang w:val="en-US"/>
        </w:rPr>
        <w:t xml:space="preserve">, 100204. </w:t>
      </w:r>
      <w:hyperlink r:id="rId49" w:history="1">
        <w:r w:rsidRPr="00945DBC">
          <w:rPr>
            <w:rStyle w:val="Hipervnculo"/>
            <w:lang w:val="en-US"/>
          </w:rPr>
          <w:t>https://doi.org/10.1016/j.caeai.2024.100204</w:t>
        </w:r>
      </w:hyperlink>
    </w:p>
    <w:p w14:paraId="0CB9B045" w14:textId="77777777" w:rsidR="00CA484D" w:rsidRPr="00CA484D" w:rsidRDefault="00CA484D" w:rsidP="00CA484D">
      <w:pPr>
        <w:rPr>
          <w:lang w:val="es-MX"/>
        </w:rPr>
      </w:pPr>
      <w:r w:rsidRPr="00945DBC">
        <w:rPr>
          <w:lang w:val="en-US"/>
        </w:rPr>
        <w:t xml:space="preserve">American Association of University Professors. (2025). </w:t>
      </w:r>
      <w:r w:rsidRPr="00945DBC">
        <w:rPr>
          <w:i/>
          <w:iCs/>
          <w:lang w:val="en-US"/>
        </w:rPr>
        <w:t>Artificial intelligence and academic professions</w:t>
      </w:r>
      <w:r w:rsidRPr="00945DBC">
        <w:rPr>
          <w:lang w:val="en-US"/>
        </w:rPr>
        <w:t xml:space="preserve">. </w:t>
      </w:r>
      <w:hyperlink r:id="rId50" w:history="1">
        <w:r w:rsidRPr="00CA484D">
          <w:rPr>
            <w:rStyle w:val="Hipervnculo"/>
            <w:lang w:val="es-MX"/>
          </w:rPr>
          <w:t>https://www.aaup.org/reports-publications/aaup-policies-reports/topical-reports/artificial-intelligence-and-academic</w:t>
        </w:r>
      </w:hyperlink>
    </w:p>
    <w:p w14:paraId="4AAC0E9F" w14:textId="77777777" w:rsidR="00CA484D" w:rsidRPr="00945DBC" w:rsidRDefault="00CA484D" w:rsidP="00CA484D">
      <w:pPr>
        <w:rPr>
          <w:lang w:val="en-US"/>
        </w:rPr>
      </w:pPr>
      <w:r w:rsidRPr="00945DBC">
        <w:rPr>
          <w:lang w:val="en-US"/>
        </w:rPr>
        <w:t xml:space="preserve">American Educational Research Association, American Psychological Association, &amp; National Council on Measurement in Education. (2014). </w:t>
      </w:r>
      <w:r w:rsidRPr="00945DBC">
        <w:rPr>
          <w:i/>
          <w:iCs/>
          <w:lang w:val="en-US"/>
        </w:rPr>
        <w:t>Standards for educational and psychological testing</w:t>
      </w:r>
      <w:r w:rsidRPr="00945DBC">
        <w:rPr>
          <w:lang w:val="en-US"/>
        </w:rPr>
        <w:t>. American Educational Research Association.</w:t>
      </w:r>
    </w:p>
    <w:p w14:paraId="45B9D582" w14:textId="77777777" w:rsidR="00CA484D" w:rsidRPr="00945DBC" w:rsidRDefault="00CA484D" w:rsidP="00CA484D">
      <w:pPr>
        <w:rPr>
          <w:lang w:val="en-US"/>
        </w:rPr>
      </w:pPr>
      <w:r w:rsidRPr="00945DBC">
        <w:rPr>
          <w:lang w:val="en-US"/>
        </w:rPr>
        <w:t xml:space="preserve">American Psychological Association. (2020). </w:t>
      </w:r>
      <w:r w:rsidRPr="00945DBC">
        <w:rPr>
          <w:i/>
          <w:iCs/>
          <w:lang w:val="en-US"/>
        </w:rPr>
        <w:t>Publication manual of the American Psychological Association</w:t>
      </w:r>
      <w:r w:rsidRPr="00945DBC">
        <w:rPr>
          <w:lang w:val="en-US"/>
        </w:rPr>
        <w:t xml:space="preserve"> (7th ed.).</w:t>
      </w:r>
    </w:p>
    <w:p w14:paraId="0540BDB6" w14:textId="77777777" w:rsidR="00CA484D" w:rsidRPr="00CA484D" w:rsidRDefault="00CA484D" w:rsidP="00CA484D">
      <w:pPr>
        <w:rPr>
          <w:lang w:val="es-MX"/>
        </w:rPr>
      </w:pPr>
      <w:r w:rsidRPr="00945DBC">
        <w:rPr>
          <w:lang w:val="en-US"/>
        </w:rPr>
        <w:t xml:space="preserve">Andrade, H. L. (2019). A critical review of research on student self-assessment. </w:t>
      </w:r>
      <w:proofErr w:type="spellStart"/>
      <w:r w:rsidRPr="00CA484D">
        <w:rPr>
          <w:i/>
          <w:iCs/>
          <w:lang w:val="es-MX"/>
        </w:rPr>
        <w:t>Frontiers</w:t>
      </w:r>
      <w:proofErr w:type="spellEnd"/>
      <w:r w:rsidRPr="00CA484D">
        <w:rPr>
          <w:i/>
          <w:iCs/>
          <w:lang w:val="es-MX"/>
        </w:rPr>
        <w:t xml:space="preserve"> in </w:t>
      </w:r>
      <w:proofErr w:type="spellStart"/>
      <w:r w:rsidRPr="00CA484D">
        <w:rPr>
          <w:i/>
          <w:iCs/>
          <w:lang w:val="es-MX"/>
        </w:rPr>
        <w:t>Education</w:t>
      </w:r>
      <w:proofErr w:type="spellEnd"/>
      <w:r w:rsidRPr="00CA484D">
        <w:rPr>
          <w:i/>
          <w:iCs/>
          <w:lang w:val="es-MX"/>
        </w:rPr>
        <w:t>, 4</w:t>
      </w:r>
      <w:r w:rsidRPr="00CA484D">
        <w:rPr>
          <w:lang w:val="es-MX"/>
        </w:rPr>
        <w:t xml:space="preserve">, </w:t>
      </w:r>
      <w:proofErr w:type="spellStart"/>
      <w:r w:rsidRPr="00CA484D">
        <w:rPr>
          <w:lang w:val="es-MX"/>
        </w:rPr>
        <w:t>Article</w:t>
      </w:r>
      <w:proofErr w:type="spellEnd"/>
      <w:r w:rsidRPr="00CA484D">
        <w:rPr>
          <w:lang w:val="es-MX"/>
        </w:rPr>
        <w:t xml:space="preserve"> 87. </w:t>
      </w:r>
      <w:hyperlink r:id="rId51" w:history="1">
        <w:r w:rsidRPr="00CA484D">
          <w:rPr>
            <w:rStyle w:val="Hipervnculo"/>
            <w:lang w:val="es-MX"/>
          </w:rPr>
          <w:t>https://doi.org/10.3389/feduc.2019.00087</w:t>
        </w:r>
      </w:hyperlink>
    </w:p>
    <w:p w14:paraId="1FBAAEA9" w14:textId="77777777" w:rsidR="00CA484D" w:rsidRPr="00945DBC" w:rsidRDefault="00CA484D" w:rsidP="00CA484D">
      <w:pPr>
        <w:rPr>
          <w:lang w:val="en-US"/>
        </w:rPr>
      </w:pPr>
      <w:r w:rsidRPr="00CA484D">
        <w:rPr>
          <w:lang w:val="es-MX"/>
        </w:rPr>
        <w:t xml:space="preserve">Asamblea Nacional del Ecuador. (2021). </w:t>
      </w:r>
      <w:r w:rsidRPr="00CA484D">
        <w:rPr>
          <w:i/>
          <w:iCs/>
          <w:lang w:val="es-MX"/>
        </w:rPr>
        <w:t>Ley Orgánica de Protección de Datos Personales</w:t>
      </w:r>
      <w:r w:rsidRPr="00CA484D">
        <w:rPr>
          <w:lang w:val="es-MX"/>
        </w:rPr>
        <w:t xml:space="preserve">. </w:t>
      </w:r>
      <w:r w:rsidRPr="00945DBC">
        <w:rPr>
          <w:lang w:val="en-US"/>
        </w:rPr>
        <w:t xml:space="preserve">Registro </w:t>
      </w:r>
      <w:proofErr w:type="spellStart"/>
      <w:r w:rsidRPr="00945DBC">
        <w:rPr>
          <w:lang w:val="en-US"/>
        </w:rPr>
        <w:t>Oficial</w:t>
      </w:r>
      <w:proofErr w:type="spellEnd"/>
      <w:r w:rsidRPr="00945DBC">
        <w:rPr>
          <w:lang w:val="en-US"/>
        </w:rPr>
        <w:t xml:space="preserve">, Quinto </w:t>
      </w:r>
      <w:proofErr w:type="spellStart"/>
      <w:r w:rsidRPr="00945DBC">
        <w:rPr>
          <w:lang w:val="en-US"/>
        </w:rPr>
        <w:t>Suplemento</w:t>
      </w:r>
      <w:proofErr w:type="spellEnd"/>
      <w:r w:rsidRPr="00945DBC">
        <w:rPr>
          <w:lang w:val="en-US"/>
        </w:rPr>
        <w:t xml:space="preserve"> No. 459. </w:t>
      </w:r>
      <w:hyperlink r:id="rId52" w:history="1">
        <w:r w:rsidRPr="00945DBC">
          <w:rPr>
            <w:rStyle w:val="Hipervnculo"/>
            <w:lang w:val="en-US"/>
          </w:rPr>
          <w:t>https://www.asambleanacional.gob.ec/es/multimedios-legislativos/63464-ley-organica-de-proteccion-de-datos</w:t>
        </w:r>
      </w:hyperlink>
    </w:p>
    <w:p w14:paraId="57CB3E11" w14:textId="77777777" w:rsidR="00CA484D" w:rsidRPr="00945DBC" w:rsidRDefault="00CA484D" w:rsidP="00CA484D">
      <w:pPr>
        <w:rPr>
          <w:lang w:val="en-US"/>
        </w:rPr>
      </w:pPr>
      <w:r w:rsidRPr="00945DBC">
        <w:rPr>
          <w:lang w:val="en-US"/>
        </w:rPr>
        <w:t xml:space="preserve">Association of College and Research Libraries. (2016). </w:t>
      </w:r>
      <w:r w:rsidRPr="00945DBC">
        <w:rPr>
          <w:i/>
          <w:iCs/>
          <w:lang w:val="en-US"/>
        </w:rPr>
        <w:t>Framework for information literacy for higher education</w:t>
      </w:r>
      <w:r w:rsidRPr="00945DBC">
        <w:rPr>
          <w:lang w:val="en-US"/>
        </w:rPr>
        <w:t xml:space="preserve">. American Library Association. </w:t>
      </w:r>
      <w:hyperlink r:id="rId53" w:history="1">
        <w:r w:rsidRPr="00945DBC">
          <w:rPr>
            <w:rStyle w:val="Hipervnculo"/>
            <w:lang w:val="en-US"/>
          </w:rPr>
          <w:t>https://www.ala.org/acrl/standards/ilframework</w:t>
        </w:r>
      </w:hyperlink>
    </w:p>
    <w:p w14:paraId="2B19069E" w14:textId="77777777" w:rsidR="00CA484D" w:rsidRPr="00945DBC" w:rsidRDefault="00CA484D" w:rsidP="00CA484D">
      <w:pPr>
        <w:rPr>
          <w:lang w:val="en-US"/>
        </w:rPr>
      </w:pPr>
      <w:r w:rsidRPr="00945DBC">
        <w:rPr>
          <w:lang w:val="en-US"/>
        </w:rPr>
        <w:t xml:space="preserve">Autio, C., Schwartz, R., Dunietz, J., Jain, S., Stanley, M., Tabassi, E., Hall, P., &amp; Roberts, K. (2024). </w:t>
      </w:r>
      <w:r w:rsidRPr="00945DBC">
        <w:rPr>
          <w:i/>
          <w:iCs/>
          <w:lang w:val="en-US"/>
        </w:rPr>
        <w:t>Artificial intelligence risk management framework: Generative artificial intelligence profile</w:t>
      </w:r>
      <w:r w:rsidRPr="00945DBC">
        <w:rPr>
          <w:lang w:val="en-US"/>
        </w:rPr>
        <w:t xml:space="preserve"> (NIST AI 600-1). National Institute of Standards and Technology. </w:t>
      </w:r>
      <w:hyperlink r:id="rId54" w:history="1">
        <w:r w:rsidRPr="00945DBC">
          <w:rPr>
            <w:rStyle w:val="Hipervnculo"/>
            <w:lang w:val="en-US"/>
          </w:rPr>
          <w:t>https://doi.org/10.6028/NIST.AI.600-1</w:t>
        </w:r>
      </w:hyperlink>
    </w:p>
    <w:p w14:paraId="7A1F9936" w14:textId="77777777" w:rsidR="00CA484D" w:rsidRPr="00945DBC" w:rsidRDefault="00CA484D" w:rsidP="00CA484D">
      <w:pPr>
        <w:rPr>
          <w:lang w:val="en-US"/>
        </w:rPr>
      </w:pPr>
      <w:r w:rsidRPr="00945DBC">
        <w:rPr>
          <w:lang w:val="en-US"/>
        </w:rPr>
        <w:t xml:space="preserve">Baker, R. S., &amp; Hawn, A. (2022). Algorithmic bias in education. </w:t>
      </w:r>
      <w:r w:rsidRPr="00945DBC">
        <w:rPr>
          <w:i/>
          <w:iCs/>
          <w:lang w:val="en-US"/>
        </w:rPr>
        <w:t>International Journal of Artificial Intelligence in Education, 32</w:t>
      </w:r>
      <w:r w:rsidRPr="00945DBC">
        <w:rPr>
          <w:lang w:val="en-US"/>
        </w:rPr>
        <w:t xml:space="preserve">, 1052–1092. </w:t>
      </w:r>
      <w:hyperlink r:id="rId55" w:history="1">
        <w:r w:rsidRPr="00945DBC">
          <w:rPr>
            <w:rStyle w:val="Hipervnculo"/>
            <w:lang w:val="en-US"/>
          </w:rPr>
          <w:t>https://doi.org/10.1007/s40593-021-00285-9</w:t>
        </w:r>
      </w:hyperlink>
    </w:p>
    <w:p w14:paraId="2945A734" w14:textId="77777777" w:rsidR="00CA484D" w:rsidRPr="00945DBC" w:rsidRDefault="00CA484D" w:rsidP="00CA484D">
      <w:pPr>
        <w:rPr>
          <w:lang w:val="en-US"/>
        </w:rPr>
      </w:pPr>
      <w:r w:rsidRPr="00945DBC">
        <w:rPr>
          <w:lang w:val="en-US"/>
        </w:rPr>
        <w:t xml:space="preserve">Bender, E. M., Gebru, T., McMillan-Major, A., &amp; </w:t>
      </w:r>
      <w:proofErr w:type="spellStart"/>
      <w:r w:rsidRPr="00945DBC">
        <w:rPr>
          <w:lang w:val="en-US"/>
        </w:rPr>
        <w:t>Shmitchell</w:t>
      </w:r>
      <w:proofErr w:type="spellEnd"/>
      <w:r w:rsidRPr="00945DBC">
        <w:rPr>
          <w:lang w:val="en-US"/>
        </w:rPr>
        <w:t xml:space="preserve">, S. (2021). On the dangers of stochastic parrots: Can language models be too big? In </w:t>
      </w:r>
      <w:r w:rsidRPr="00945DBC">
        <w:rPr>
          <w:i/>
          <w:iCs/>
          <w:lang w:val="en-US"/>
        </w:rPr>
        <w:t>Proceedings of the 2021 ACM Conference on Fairness, Accountability, and Transparency</w:t>
      </w:r>
      <w:r w:rsidRPr="00945DBC">
        <w:rPr>
          <w:lang w:val="en-US"/>
        </w:rPr>
        <w:t xml:space="preserve"> (pp. 610–623). Association for Computing Machinery. </w:t>
      </w:r>
      <w:hyperlink r:id="rId56" w:history="1">
        <w:r w:rsidRPr="00945DBC">
          <w:rPr>
            <w:rStyle w:val="Hipervnculo"/>
            <w:lang w:val="en-US"/>
          </w:rPr>
          <w:t>https://doi.org/10.1145/3442188.3445922</w:t>
        </w:r>
      </w:hyperlink>
    </w:p>
    <w:p w14:paraId="702C2FA8" w14:textId="77777777" w:rsidR="00CA484D" w:rsidRPr="00945DBC" w:rsidRDefault="00CA484D" w:rsidP="00CA484D">
      <w:pPr>
        <w:rPr>
          <w:lang w:val="en-US"/>
        </w:rPr>
      </w:pPr>
      <w:r w:rsidRPr="00945DBC">
        <w:rPr>
          <w:lang w:val="en-US"/>
        </w:rPr>
        <w:t xml:space="preserve">Biggs, J., &amp; Tang, C. (2011). </w:t>
      </w:r>
      <w:r w:rsidRPr="00945DBC">
        <w:rPr>
          <w:i/>
          <w:iCs/>
          <w:lang w:val="en-US"/>
        </w:rPr>
        <w:t>Teaching for quality learning at university</w:t>
      </w:r>
      <w:r w:rsidRPr="00945DBC">
        <w:rPr>
          <w:lang w:val="en-US"/>
        </w:rPr>
        <w:t xml:space="preserve"> (4th ed.). Open University Press.</w:t>
      </w:r>
    </w:p>
    <w:p w14:paraId="6A2D41F4" w14:textId="77777777" w:rsidR="00CA484D" w:rsidRPr="00945DBC" w:rsidRDefault="00CA484D" w:rsidP="00CA484D">
      <w:pPr>
        <w:rPr>
          <w:lang w:val="en-US"/>
        </w:rPr>
      </w:pPr>
      <w:r w:rsidRPr="00945DBC">
        <w:rPr>
          <w:lang w:val="en-US"/>
        </w:rPr>
        <w:lastRenderedPageBreak/>
        <w:t xml:space="preserve">Black, P., &amp; Wiliam, D. (2009). Developing the theory of formative assessment. </w:t>
      </w:r>
      <w:r w:rsidRPr="00945DBC">
        <w:rPr>
          <w:i/>
          <w:iCs/>
          <w:lang w:val="en-US"/>
        </w:rPr>
        <w:t>Educational Assessment, Evaluation and Accountability, 21</w:t>
      </w:r>
      <w:r w:rsidRPr="00945DBC">
        <w:rPr>
          <w:lang w:val="en-US"/>
        </w:rPr>
        <w:t xml:space="preserve">, 5–31. </w:t>
      </w:r>
      <w:hyperlink r:id="rId57" w:history="1">
        <w:r w:rsidRPr="00945DBC">
          <w:rPr>
            <w:rStyle w:val="Hipervnculo"/>
            <w:lang w:val="en-US"/>
          </w:rPr>
          <w:t>https://doi.org/10.1007/s11092-008-9068-5</w:t>
        </w:r>
      </w:hyperlink>
    </w:p>
    <w:p w14:paraId="65482CA4" w14:textId="77777777" w:rsidR="00CA484D" w:rsidRPr="00945DBC" w:rsidRDefault="00CA484D" w:rsidP="00CA484D">
      <w:pPr>
        <w:rPr>
          <w:lang w:val="en-US"/>
        </w:rPr>
      </w:pPr>
      <w:r w:rsidRPr="00945DBC">
        <w:rPr>
          <w:lang w:val="en-US"/>
        </w:rPr>
        <w:t xml:space="preserve">Bond, M., Khosravi, H., De Laat, M., Bergdahl, N., Negrea, V., Oxley, E., Pham, P., Chong, S. W., &amp; Siemens, G. (2024). A meta systematic review of artificial intelligence in higher education: A call for increased ethics, collaboration, and </w:t>
      </w:r>
      <w:proofErr w:type="spellStart"/>
      <w:r w:rsidRPr="00945DBC">
        <w:rPr>
          <w:lang w:val="en-US"/>
        </w:rPr>
        <w:t>rigour</w:t>
      </w:r>
      <w:proofErr w:type="spellEnd"/>
      <w:r w:rsidRPr="00945DBC">
        <w:rPr>
          <w:lang w:val="en-US"/>
        </w:rPr>
        <w:t xml:space="preserve">. </w:t>
      </w:r>
      <w:r w:rsidRPr="00945DBC">
        <w:rPr>
          <w:i/>
          <w:iCs/>
          <w:lang w:val="en-US"/>
        </w:rPr>
        <w:t>International Journal of Educational Technology in Higher Education, 21</w:t>
      </w:r>
      <w:r w:rsidRPr="00945DBC">
        <w:rPr>
          <w:lang w:val="en-US"/>
        </w:rPr>
        <w:t xml:space="preserve">, Article 4. </w:t>
      </w:r>
      <w:hyperlink r:id="rId58" w:history="1">
        <w:r w:rsidRPr="00945DBC">
          <w:rPr>
            <w:rStyle w:val="Hipervnculo"/>
            <w:lang w:val="en-US"/>
          </w:rPr>
          <w:t>https://doi.org/10.1186/s41239-023-00436-z</w:t>
        </w:r>
      </w:hyperlink>
    </w:p>
    <w:p w14:paraId="1CE58B36" w14:textId="77777777" w:rsidR="00CA484D" w:rsidRPr="00945DBC" w:rsidRDefault="00CA484D" w:rsidP="00CA484D">
      <w:pPr>
        <w:rPr>
          <w:lang w:val="en-US"/>
        </w:rPr>
      </w:pPr>
      <w:r w:rsidRPr="00945DBC">
        <w:rPr>
          <w:lang w:val="en-US"/>
        </w:rPr>
        <w:t xml:space="preserve">Booth, A., Sutton, A., &amp; Papaioannou, D. (2016). </w:t>
      </w:r>
      <w:r w:rsidRPr="00945DBC">
        <w:rPr>
          <w:i/>
          <w:iCs/>
          <w:lang w:val="en-US"/>
        </w:rPr>
        <w:t>Systematic approaches to a successful literature review</w:t>
      </w:r>
      <w:r w:rsidRPr="00945DBC">
        <w:rPr>
          <w:lang w:val="en-US"/>
        </w:rPr>
        <w:t xml:space="preserve"> (2nd ed.). Sage.</w:t>
      </w:r>
    </w:p>
    <w:p w14:paraId="2D1A6538" w14:textId="77777777" w:rsidR="00CA484D" w:rsidRPr="00945DBC" w:rsidRDefault="00CA484D" w:rsidP="00CA484D">
      <w:pPr>
        <w:rPr>
          <w:lang w:val="en-US"/>
        </w:rPr>
      </w:pPr>
      <w:r w:rsidRPr="00945DBC">
        <w:rPr>
          <w:lang w:val="en-US"/>
        </w:rPr>
        <w:t xml:space="preserve">Boud, D., &amp; Falchikov, N. (Eds.). (2007). </w:t>
      </w:r>
      <w:r w:rsidRPr="00945DBC">
        <w:rPr>
          <w:i/>
          <w:iCs/>
          <w:lang w:val="en-US"/>
        </w:rPr>
        <w:t>Rethinking assessment in higher education: Learning for the longer term</w:t>
      </w:r>
      <w:r w:rsidRPr="00945DBC">
        <w:rPr>
          <w:lang w:val="en-US"/>
        </w:rPr>
        <w:t xml:space="preserve">. Routledge. </w:t>
      </w:r>
      <w:hyperlink r:id="rId59" w:history="1">
        <w:r w:rsidRPr="00945DBC">
          <w:rPr>
            <w:rStyle w:val="Hipervnculo"/>
            <w:lang w:val="en-US"/>
          </w:rPr>
          <w:t>https://doi.org/10.4324/9780203964309</w:t>
        </w:r>
      </w:hyperlink>
    </w:p>
    <w:p w14:paraId="68A9DD93" w14:textId="77777777" w:rsidR="00CA484D" w:rsidRPr="00945DBC" w:rsidRDefault="00CA484D" w:rsidP="00CA484D">
      <w:pPr>
        <w:rPr>
          <w:lang w:val="en-US"/>
        </w:rPr>
      </w:pPr>
      <w:r w:rsidRPr="00945DBC">
        <w:rPr>
          <w:lang w:val="en-US"/>
        </w:rPr>
        <w:t xml:space="preserve">Bramer, W. M., de Jonge, G. B., </w:t>
      </w:r>
      <w:proofErr w:type="spellStart"/>
      <w:r w:rsidRPr="00945DBC">
        <w:rPr>
          <w:lang w:val="en-US"/>
        </w:rPr>
        <w:t>Rethlefsen</w:t>
      </w:r>
      <w:proofErr w:type="spellEnd"/>
      <w:r w:rsidRPr="00945DBC">
        <w:rPr>
          <w:lang w:val="en-US"/>
        </w:rPr>
        <w:t xml:space="preserve">, M. L., Mast, F., &amp; </w:t>
      </w:r>
      <w:proofErr w:type="spellStart"/>
      <w:r w:rsidRPr="00945DBC">
        <w:rPr>
          <w:lang w:val="en-US"/>
        </w:rPr>
        <w:t>Kleijnen</w:t>
      </w:r>
      <w:proofErr w:type="spellEnd"/>
      <w:r w:rsidRPr="00945DBC">
        <w:rPr>
          <w:lang w:val="en-US"/>
        </w:rPr>
        <w:t xml:space="preserve">, J. (2018). A systematic approach to searching: An efficient and complete method to develop literature searches. </w:t>
      </w:r>
      <w:r w:rsidRPr="00945DBC">
        <w:rPr>
          <w:i/>
          <w:iCs/>
          <w:lang w:val="en-US"/>
        </w:rPr>
        <w:t>Journal of the Medical Library Association, 106</w:t>
      </w:r>
      <w:r w:rsidRPr="00945DBC">
        <w:rPr>
          <w:lang w:val="en-US"/>
        </w:rPr>
        <w:t xml:space="preserve">(4), 531–541. </w:t>
      </w:r>
      <w:hyperlink r:id="rId60" w:history="1">
        <w:r w:rsidRPr="00945DBC">
          <w:rPr>
            <w:rStyle w:val="Hipervnculo"/>
            <w:lang w:val="en-US"/>
          </w:rPr>
          <w:t>https://doi.org/10.5195/jmla.2018.283</w:t>
        </w:r>
      </w:hyperlink>
    </w:p>
    <w:p w14:paraId="57A62E23" w14:textId="77777777" w:rsidR="00CA484D" w:rsidRPr="00945DBC" w:rsidRDefault="00CA484D" w:rsidP="00CA484D">
      <w:pPr>
        <w:rPr>
          <w:lang w:val="en-US"/>
        </w:rPr>
      </w:pPr>
      <w:r w:rsidRPr="00945DBC">
        <w:rPr>
          <w:lang w:val="en-US"/>
        </w:rPr>
        <w:t xml:space="preserve">Bramer, W. M., Giustini, D., de Jonge, G. B., Holland, L., &amp; </w:t>
      </w:r>
      <w:proofErr w:type="spellStart"/>
      <w:r w:rsidRPr="00945DBC">
        <w:rPr>
          <w:lang w:val="en-US"/>
        </w:rPr>
        <w:t>Bekhuis</w:t>
      </w:r>
      <w:proofErr w:type="spellEnd"/>
      <w:r w:rsidRPr="00945DBC">
        <w:rPr>
          <w:lang w:val="en-US"/>
        </w:rPr>
        <w:t xml:space="preserve">, T. (2016). De-duplication of database search results for systematic reviews in EndNote. </w:t>
      </w:r>
      <w:r w:rsidRPr="00945DBC">
        <w:rPr>
          <w:i/>
          <w:iCs/>
          <w:lang w:val="en-US"/>
        </w:rPr>
        <w:t>Journal of the Medical Library Association, 104</w:t>
      </w:r>
      <w:r w:rsidRPr="00945DBC">
        <w:rPr>
          <w:lang w:val="en-US"/>
        </w:rPr>
        <w:t xml:space="preserve">(3), 240–243. </w:t>
      </w:r>
      <w:hyperlink r:id="rId61" w:history="1">
        <w:r w:rsidRPr="00945DBC">
          <w:rPr>
            <w:rStyle w:val="Hipervnculo"/>
            <w:lang w:val="en-US"/>
          </w:rPr>
          <w:t>https://doi.org/10.3163/1536-5050.104.3.014</w:t>
        </w:r>
      </w:hyperlink>
    </w:p>
    <w:p w14:paraId="1D44D779" w14:textId="77777777" w:rsidR="00CA484D" w:rsidRPr="00945DBC" w:rsidRDefault="00CA484D" w:rsidP="00CA484D">
      <w:pPr>
        <w:rPr>
          <w:lang w:val="en-US"/>
        </w:rPr>
      </w:pPr>
      <w:r w:rsidRPr="00945DBC">
        <w:rPr>
          <w:lang w:val="en-US"/>
        </w:rPr>
        <w:t xml:space="preserve">Brand, A., Allen, L., Altman, M., Hlava, M., &amp; Scott, J. (2015). Beyond authorship: Attribution, contribution, collaboration, and credit. </w:t>
      </w:r>
      <w:r w:rsidRPr="00945DBC">
        <w:rPr>
          <w:i/>
          <w:iCs/>
          <w:lang w:val="en-US"/>
        </w:rPr>
        <w:t>Learned Publishing, 28</w:t>
      </w:r>
      <w:r w:rsidRPr="00945DBC">
        <w:rPr>
          <w:lang w:val="en-US"/>
        </w:rPr>
        <w:t xml:space="preserve">(2), 151–155. </w:t>
      </w:r>
      <w:hyperlink r:id="rId62" w:history="1">
        <w:r w:rsidRPr="00945DBC">
          <w:rPr>
            <w:rStyle w:val="Hipervnculo"/>
            <w:lang w:val="en-US"/>
          </w:rPr>
          <w:t>https://doi.org/10.1087/20150211</w:t>
        </w:r>
      </w:hyperlink>
    </w:p>
    <w:p w14:paraId="750AFFDD" w14:textId="77777777" w:rsidR="00CA484D" w:rsidRPr="00945DBC" w:rsidRDefault="00CA484D" w:rsidP="00CA484D">
      <w:pPr>
        <w:rPr>
          <w:lang w:val="en-US"/>
        </w:rPr>
      </w:pPr>
      <w:r w:rsidRPr="00945DBC">
        <w:rPr>
          <w:lang w:val="en-US"/>
        </w:rPr>
        <w:t xml:space="preserve">Braun, V., &amp; Clarke, V. (2022). </w:t>
      </w:r>
      <w:r w:rsidRPr="00945DBC">
        <w:rPr>
          <w:i/>
          <w:iCs/>
          <w:lang w:val="en-US"/>
        </w:rPr>
        <w:t>Thematic analysis: A practical guide</w:t>
      </w:r>
      <w:r w:rsidRPr="00945DBC">
        <w:rPr>
          <w:lang w:val="en-US"/>
        </w:rPr>
        <w:t>. Sage.</w:t>
      </w:r>
    </w:p>
    <w:p w14:paraId="4206C95B" w14:textId="77777777" w:rsidR="00CA484D" w:rsidRPr="00945DBC" w:rsidRDefault="00CA484D" w:rsidP="00CA484D">
      <w:pPr>
        <w:rPr>
          <w:lang w:val="en-US"/>
        </w:rPr>
      </w:pPr>
      <w:proofErr w:type="spellStart"/>
      <w:r w:rsidRPr="00945DBC">
        <w:rPr>
          <w:lang w:val="en-US"/>
        </w:rPr>
        <w:t>Bretag</w:t>
      </w:r>
      <w:proofErr w:type="spellEnd"/>
      <w:r w:rsidRPr="00945DBC">
        <w:rPr>
          <w:lang w:val="en-US"/>
        </w:rPr>
        <w:t xml:space="preserve">, T. (Ed.). (2016). </w:t>
      </w:r>
      <w:r w:rsidRPr="00945DBC">
        <w:rPr>
          <w:i/>
          <w:iCs/>
          <w:lang w:val="en-US"/>
        </w:rPr>
        <w:t>Handbook of academic integrity</w:t>
      </w:r>
      <w:r w:rsidRPr="00945DBC">
        <w:rPr>
          <w:lang w:val="en-US"/>
        </w:rPr>
        <w:t xml:space="preserve">. Springer. </w:t>
      </w:r>
      <w:hyperlink r:id="rId63" w:history="1">
        <w:r w:rsidRPr="00945DBC">
          <w:rPr>
            <w:rStyle w:val="Hipervnculo"/>
            <w:lang w:val="en-US"/>
          </w:rPr>
          <w:t>https://doi.org/10.1007/978-981-287-098-8</w:t>
        </w:r>
      </w:hyperlink>
    </w:p>
    <w:p w14:paraId="19677C81" w14:textId="77777777" w:rsidR="00CA484D" w:rsidRPr="00945DBC" w:rsidRDefault="00CA484D" w:rsidP="00CA484D">
      <w:pPr>
        <w:rPr>
          <w:lang w:val="en-US"/>
        </w:rPr>
      </w:pPr>
      <w:r w:rsidRPr="00945DBC">
        <w:rPr>
          <w:lang w:val="en-US"/>
        </w:rPr>
        <w:t xml:space="preserve">Broman, K. W., &amp; Woo, K. H. (2018). Data organization in spreadsheets. </w:t>
      </w:r>
      <w:r w:rsidRPr="00945DBC">
        <w:rPr>
          <w:i/>
          <w:iCs/>
          <w:lang w:val="en-US"/>
        </w:rPr>
        <w:t>The American Statistician, 72</w:t>
      </w:r>
      <w:r w:rsidRPr="00945DBC">
        <w:rPr>
          <w:lang w:val="en-US"/>
        </w:rPr>
        <w:t xml:space="preserve">(1), 2–10. </w:t>
      </w:r>
      <w:hyperlink r:id="rId64" w:history="1">
        <w:r w:rsidRPr="00945DBC">
          <w:rPr>
            <w:rStyle w:val="Hipervnculo"/>
            <w:lang w:val="en-US"/>
          </w:rPr>
          <w:t>https://doi.org/10.1080/00031305.2017.1375989</w:t>
        </w:r>
      </w:hyperlink>
    </w:p>
    <w:p w14:paraId="32202F8A" w14:textId="77777777" w:rsidR="00CA484D" w:rsidRPr="00945DBC" w:rsidRDefault="00CA484D" w:rsidP="00CA484D">
      <w:pPr>
        <w:rPr>
          <w:lang w:val="en-US"/>
        </w:rPr>
      </w:pPr>
      <w:r w:rsidRPr="00945DBC">
        <w:rPr>
          <w:lang w:val="en-US"/>
        </w:rPr>
        <w:t xml:space="preserve">Brookhart, S. M. (2013). </w:t>
      </w:r>
      <w:r w:rsidRPr="00945DBC">
        <w:rPr>
          <w:i/>
          <w:iCs/>
          <w:lang w:val="en-US"/>
        </w:rPr>
        <w:t>How to create and use rubrics for formative assessment and grading</w:t>
      </w:r>
      <w:r w:rsidRPr="00945DBC">
        <w:rPr>
          <w:lang w:val="en-US"/>
        </w:rPr>
        <w:t>. ASCD.</w:t>
      </w:r>
    </w:p>
    <w:p w14:paraId="17CC9056" w14:textId="77777777" w:rsidR="00CA484D" w:rsidRPr="00945DBC" w:rsidRDefault="00CA484D" w:rsidP="00CA484D">
      <w:pPr>
        <w:rPr>
          <w:lang w:val="en-US"/>
        </w:rPr>
      </w:pPr>
      <w:proofErr w:type="spellStart"/>
      <w:r w:rsidRPr="00945DBC">
        <w:rPr>
          <w:lang w:val="en-US"/>
        </w:rPr>
        <w:t>Buolamwini</w:t>
      </w:r>
      <w:proofErr w:type="spellEnd"/>
      <w:r w:rsidRPr="00945DBC">
        <w:rPr>
          <w:lang w:val="en-US"/>
        </w:rPr>
        <w:t xml:space="preserve">, J., &amp; Gebru, T. (2018). Gender shades: Intersectional accuracy disparities in commercial gender classification. </w:t>
      </w:r>
      <w:r w:rsidRPr="00945DBC">
        <w:rPr>
          <w:i/>
          <w:iCs/>
          <w:lang w:val="en-US"/>
        </w:rPr>
        <w:t>Proceedings of Machine Learning Research, 81</w:t>
      </w:r>
      <w:r w:rsidRPr="00945DBC">
        <w:rPr>
          <w:lang w:val="en-US"/>
        </w:rPr>
        <w:t xml:space="preserve">, 77–91. </w:t>
      </w:r>
      <w:hyperlink r:id="rId65" w:history="1">
        <w:r w:rsidRPr="00945DBC">
          <w:rPr>
            <w:rStyle w:val="Hipervnculo"/>
            <w:lang w:val="en-US"/>
          </w:rPr>
          <w:t>https://proceedings.mlr.press/v81/buolamwini18a.html</w:t>
        </w:r>
      </w:hyperlink>
    </w:p>
    <w:p w14:paraId="1DC9E67F" w14:textId="77777777" w:rsidR="00CA484D" w:rsidRPr="00945DBC" w:rsidRDefault="00CA484D" w:rsidP="00CA484D">
      <w:pPr>
        <w:rPr>
          <w:lang w:val="en-US"/>
        </w:rPr>
      </w:pPr>
      <w:r w:rsidRPr="00945DBC">
        <w:rPr>
          <w:lang w:val="en-US"/>
        </w:rPr>
        <w:t xml:space="preserve">Burgstahler, S. E. (Ed.). (2015). </w:t>
      </w:r>
      <w:r w:rsidRPr="00945DBC">
        <w:rPr>
          <w:i/>
          <w:iCs/>
          <w:lang w:val="en-US"/>
        </w:rPr>
        <w:t>Universal design in higher education: From principles to practice</w:t>
      </w:r>
      <w:r w:rsidRPr="00945DBC">
        <w:rPr>
          <w:lang w:val="en-US"/>
        </w:rPr>
        <w:t xml:space="preserve"> (2nd ed.). Harvard Education Press.</w:t>
      </w:r>
    </w:p>
    <w:p w14:paraId="659C52E7" w14:textId="77777777" w:rsidR="00CA484D" w:rsidRPr="00945DBC" w:rsidRDefault="00CA484D" w:rsidP="00CA484D">
      <w:pPr>
        <w:rPr>
          <w:lang w:val="en-US"/>
        </w:rPr>
      </w:pPr>
      <w:r w:rsidRPr="00945DBC">
        <w:rPr>
          <w:lang w:val="en-US"/>
        </w:rPr>
        <w:lastRenderedPageBreak/>
        <w:t xml:space="preserve">Carless, D., &amp; Boud, D. (2018). The development of student feedback literacy: Enabling uptake of feedback. </w:t>
      </w:r>
      <w:r w:rsidRPr="00945DBC">
        <w:rPr>
          <w:i/>
          <w:iCs/>
          <w:lang w:val="en-US"/>
        </w:rPr>
        <w:t>Assessment &amp; Evaluation in Higher Education, 43</w:t>
      </w:r>
      <w:r w:rsidRPr="00945DBC">
        <w:rPr>
          <w:lang w:val="en-US"/>
        </w:rPr>
        <w:t xml:space="preserve">(8), 1315–1325. </w:t>
      </w:r>
      <w:hyperlink r:id="rId66" w:history="1">
        <w:r w:rsidRPr="00945DBC">
          <w:rPr>
            <w:rStyle w:val="Hipervnculo"/>
            <w:lang w:val="en-US"/>
          </w:rPr>
          <w:t>https://doi.org/10.1080/02602938.2018.1463354</w:t>
        </w:r>
      </w:hyperlink>
    </w:p>
    <w:p w14:paraId="39254DAC" w14:textId="77777777" w:rsidR="00CA484D" w:rsidRPr="00945DBC" w:rsidRDefault="00CA484D" w:rsidP="00CA484D">
      <w:pPr>
        <w:rPr>
          <w:lang w:val="en-US"/>
        </w:rPr>
      </w:pPr>
      <w:r w:rsidRPr="00945DBC">
        <w:rPr>
          <w:lang w:val="en-US"/>
        </w:rPr>
        <w:t xml:space="preserve">CAST. (2024). </w:t>
      </w:r>
      <w:r w:rsidRPr="00945DBC">
        <w:rPr>
          <w:i/>
          <w:iCs/>
          <w:lang w:val="en-US"/>
        </w:rPr>
        <w:t>Universal Design for Learning guidelines version 3.0</w:t>
      </w:r>
      <w:r w:rsidRPr="00945DBC">
        <w:rPr>
          <w:lang w:val="en-US"/>
        </w:rPr>
        <w:t xml:space="preserve">. </w:t>
      </w:r>
      <w:hyperlink r:id="rId67" w:history="1">
        <w:r w:rsidRPr="00945DBC">
          <w:rPr>
            <w:rStyle w:val="Hipervnculo"/>
            <w:lang w:val="en-US"/>
          </w:rPr>
          <w:t>https://udlguidelines.cast.org</w:t>
        </w:r>
      </w:hyperlink>
    </w:p>
    <w:p w14:paraId="67218C95" w14:textId="77777777" w:rsidR="00CA484D" w:rsidRPr="00945DBC" w:rsidRDefault="00CA484D" w:rsidP="00CA484D">
      <w:pPr>
        <w:rPr>
          <w:lang w:val="en-US"/>
        </w:rPr>
      </w:pPr>
      <w:r w:rsidRPr="00945DBC">
        <w:rPr>
          <w:lang w:val="en-US"/>
        </w:rPr>
        <w:t xml:space="preserve">Chi, M. T. H., &amp; Wylie, R. (2014). The ICAP framework: Linking cognitive engagement to active learning outcomes. </w:t>
      </w:r>
      <w:r w:rsidRPr="00945DBC">
        <w:rPr>
          <w:i/>
          <w:iCs/>
          <w:lang w:val="en-US"/>
        </w:rPr>
        <w:t>Educational Psychologist, 49</w:t>
      </w:r>
      <w:r w:rsidRPr="00945DBC">
        <w:rPr>
          <w:lang w:val="en-US"/>
        </w:rPr>
        <w:t xml:space="preserve">(4), 219–243. </w:t>
      </w:r>
      <w:hyperlink r:id="rId68" w:history="1">
        <w:r w:rsidRPr="00945DBC">
          <w:rPr>
            <w:rStyle w:val="Hipervnculo"/>
            <w:lang w:val="en-US"/>
          </w:rPr>
          <w:t>https://doi.org/10.1080/00461520.2014.965823</w:t>
        </w:r>
      </w:hyperlink>
    </w:p>
    <w:p w14:paraId="0D1B2CD0" w14:textId="77777777" w:rsidR="00CA484D" w:rsidRPr="00945DBC" w:rsidRDefault="00CA484D" w:rsidP="00CA484D">
      <w:pPr>
        <w:rPr>
          <w:lang w:val="en-US"/>
        </w:rPr>
      </w:pPr>
      <w:r w:rsidRPr="00945DBC">
        <w:rPr>
          <w:lang w:val="en-US"/>
        </w:rPr>
        <w:t xml:space="preserve">Citron, D. K., &amp; Pasquale, F. (2014). The scored society: Due process for automated predictions. </w:t>
      </w:r>
      <w:r w:rsidRPr="00945DBC">
        <w:rPr>
          <w:i/>
          <w:iCs/>
          <w:lang w:val="en-US"/>
        </w:rPr>
        <w:t>Washington Law Review, 89</w:t>
      </w:r>
      <w:r w:rsidRPr="00945DBC">
        <w:rPr>
          <w:lang w:val="en-US"/>
        </w:rPr>
        <w:t xml:space="preserve">(1), 1–33. </w:t>
      </w:r>
      <w:hyperlink r:id="rId69" w:history="1">
        <w:r w:rsidRPr="00945DBC">
          <w:rPr>
            <w:rStyle w:val="Hipervnculo"/>
            <w:lang w:val="en-US"/>
          </w:rPr>
          <w:t>https://digitalcommons.law.uw.edu/wlr/vol89/iss1/2</w:t>
        </w:r>
      </w:hyperlink>
    </w:p>
    <w:p w14:paraId="6692E4A1" w14:textId="77777777" w:rsidR="00CA484D" w:rsidRPr="00CA484D" w:rsidRDefault="00CA484D" w:rsidP="00CA484D">
      <w:pPr>
        <w:rPr>
          <w:lang w:val="es-MX"/>
        </w:rPr>
      </w:pPr>
      <w:r w:rsidRPr="00945DBC">
        <w:rPr>
          <w:lang w:val="en-US"/>
        </w:rPr>
        <w:t xml:space="preserve">Committee on Publication Ethics. (2023). </w:t>
      </w:r>
      <w:r w:rsidRPr="00945DBC">
        <w:rPr>
          <w:i/>
          <w:iCs/>
          <w:lang w:val="en-US"/>
        </w:rPr>
        <w:t>Authorship and AI tools</w:t>
      </w:r>
      <w:r w:rsidRPr="00945DBC">
        <w:rPr>
          <w:lang w:val="en-US"/>
        </w:rPr>
        <w:t xml:space="preserve">. </w:t>
      </w:r>
      <w:hyperlink r:id="rId70" w:history="1">
        <w:r w:rsidRPr="00CA484D">
          <w:rPr>
            <w:rStyle w:val="Hipervnculo"/>
            <w:lang w:val="es-MX"/>
          </w:rPr>
          <w:t>https://publicationethics.org/guidance/cope-position/authorship-and-ai-tools</w:t>
        </w:r>
      </w:hyperlink>
    </w:p>
    <w:p w14:paraId="2C59CFC1" w14:textId="77777777" w:rsidR="00CA484D" w:rsidRPr="00CA484D" w:rsidRDefault="00CA484D" w:rsidP="00CA484D">
      <w:pPr>
        <w:rPr>
          <w:lang w:val="es-MX"/>
        </w:rPr>
      </w:pPr>
      <w:r w:rsidRPr="00CA484D">
        <w:rPr>
          <w:lang w:val="es-MX"/>
        </w:rPr>
        <w:t xml:space="preserve">Consejo Nacional para la Igualdad de Discapacidades. (s. f.). </w:t>
      </w:r>
      <w:r w:rsidRPr="00CA484D">
        <w:rPr>
          <w:i/>
          <w:iCs/>
          <w:lang w:val="es-MX"/>
        </w:rPr>
        <w:t>Accesibilidad</w:t>
      </w:r>
      <w:r w:rsidRPr="00CA484D">
        <w:rPr>
          <w:lang w:val="es-MX"/>
        </w:rPr>
        <w:t xml:space="preserve">. </w:t>
      </w:r>
      <w:hyperlink r:id="rId71" w:history="1">
        <w:r w:rsidRPr="00CA484D">
          <w:rPr>
            <w:rStyle w:val="Hipervnculo"/>
            <w:lang w:val="es-MX"/>
          </w:rPr>
          <w:t>https://www.consejodiscapacidades.gob.ec/accesibilidad/</w:t>
        </w:r>
      </w:hyperlink>
    </w:p>
    <w:p w14:paraId="0C83DBBC" w14:textId="77777777" w:rsidR="00CA484D" w:rsidRPr="00945DBC" w:rsidRDefault="00CA484D" w:rsidP="00CA484D">
      <w:pPr>
        <w:rPr>
          <w:lang w:val="en-US"/>
        </w:rPr>
      </w:pPr>
      <w:r w:rsidRPr="00945DBC">
        <w:rPr>
          <w:lang w:val="en-US"/>
        </w:rPr>
        <w:t xml:space="preserve">Cotton, D. R. E., Cotton, P. A., &amp; Shipway, J. R. (2024). Chatting and cheating: Ensuring academic integrity in the era of ChatGPT. </w:t>
      </w:r>
      <w:r w:rsidRPr="00945DBC">
        <w:rPr>
          <w:i/>
          <w:iCs/>
          <w:lang w:val="en-US"/>
        </w:rPr>
        <w:t>Innovations in Education and Teaching International, 61</w:t>
      </w:r>
      <w:r w:rsidRPr="00945DBC">
        <w:rPr>
          <w:lang w:val="en-US"/>
        </w:rPr>
        <w:t xml:space="preserve">(2), 228–239. </w:t>
      </w:r>
      <w:hyperlink r:id="rId72" w:history="1">
        <w:r w:rsidRPr="00945DBC">
          <w:rPr>
            <w:rStyle w:val="Hipervnculo"/>
            <w:lang w:val="en-US"/>
          </w:rPr>
          <w:t>https://doi.org/10.1080/14703297.2023.2190148</w:t>
        </w:r>
      </w:hyperlink>
    </w:p>
    <w:p w14:paraId="39916CC0" w14:textId="77777777" w:rsidR="00CA484D" w:rsidRPr="00945DBC" w:rsidRDefault="00CA484D" w:rsidP="00CA484D">
      <w:pPr>
        <w:rPr>
          <w:lang w:val="en-US"/>
        </w:rPr>
      </w:pPr>
      <w:r w:rsidRPr="00945DBC">
        <w:rPr>
          <w:lang w:val="en-US"/>
        </w:rPr>
        <w:t xml:space="preserve">Crawford, K. (2021). </w:t>
      </w:r>
      <w:r w:rsidRPr="00945DBC">
        <w:rPr>
          <w:i/>
          <w:iCs/>
          <w:lang w:val="en-US"/>
        </w:rPr>
        <w:t>Atlas of AI: Power, politics, and the planetary costs of artificial intelligence</w:t>
      </w:r>
      <w:r w:rsidRPr="00945DBC">
        <w:rPr>
          <w:lang w:val="en-US"/>
        </w:rPr>
        <w:t xml:space="preserve">. Yale University Press. </w:t>
      </w:r>
      <w:hyperlink r:id="rId73" w:history="1">
        <w:r w:rsidRPr="00945DBC">
          <w:rPr>
            <w:rStyle w:val="Hipervnculo"/>
            <w:lang w:val="en-US"/>
          </w:rPr>
          <w:t>https://doi.org/10.12987/9780300252392</w:t>
        </w:r>
      </w:hyperlink>
    </w:p>
    <w:p w14:paraId="1B05D719" w14:textId="77777777" w:rsidR="00CA484D" w:rsidRPr="00945DBC" w:rsidRDefault="00CA484D" w:rsidP="00CA484D">
      <w:pPr>
        <w:rPr>
          <w:lang w:val="en-US"/>
        </w:rPr>
      </w:pPr>
      <w:r w:rsidRPr="00945DBC">
        <w:rPr>
          <w:lang w:val="en-US"/>
        </w:rPr>
        <w:t xml:space="preserve">Creswell, J. W., &amp; Plano Clark, V. L. (2018). </w:t>
      </w:r>
      <w:r w:rsidRPr="00945DBC">
        <w:rPr>
          <w:i/>
          <w:iCs/>
          <w:lang w:val="en-US"/>
        </w:rPr>
        <w:t>Designing and conducting mixed methods research</w:t>
      </w:r>
      <w:r w:rsidRPr="00945DBC">
        <w:rPr>
          <w:lang w:val="en-US"/>
        </w:rPr>
        <w:t xml:space="preserve"> (3rd ed.). Sage.</w:t>
      </w:r>
    </w:p>
    <w:p w14:paraId="4A198949" w14:textId="77777777" w:rsidR="00CA484D" w:rsidRPr="00945DBC" w:rsidRDefault="00CA484D" w:rsidP="00CA484D">
      <w:pPr>
        <w:rPr>
          <w:lang w:val="en-US"/>
        </w:rPr>
      </w:pPr>
      <w:r w:rsidRPr="00945DBC">
        <w:rPr>
          <w:lang w:val="en-US"/>
        </w:rPr>
        <w:t xml:space="preserve">Crompton, H., &amp; Burke, D. (2023). Artificial intelligence in higher education: The state of the field. </w:t>
      </w:r>
      <w:r w:rsidRPr="00945DBC">
        <w:rPr>
          <w:i/>
          <w:iCs/>
          <w:lang w:val="en-US"/>
        </w:rPr>
        <w:t>International Journal of Educational Technology in Higher Education, 20</w:t>
      </w:r>
      <w:r w:rsidRPr="00945DBC">
        <w:rPr>
          <w:lang w:val="en-US"/>
        </w:rPr>
        <w:t xml:space="preserve">, Article 22. </w:t>
      </w:r>
      <w:hyperlink r:id="rId74" w:history="1">
        <w:r w:rsidRPr="00945DBC">
          <w:rPr>
            <w:rStyle w:val="Hipervnculo"/>
            <w:lang w:val="en-US"/>
          </w:rPr>
          <w:t>https://doi.org/10.1186/s41239-023-00392-8</w:t>
        </w:r>
      </w:hyperlink>
    </w:p>
    <w:p w14:paraId="50B49FFE" w14:textId="77777777" w:rsidR="00CA484D" w:rsidRPr="00945DBC" w:rsidRDefault="00CA484D" w:rsidP="00CA484D">
      <w:pPr>
        <w:rPr>
          <w:lang w:val="en-US"/>
        </w:rPr>
      </w:pPr>
      <w:r w:rsidRPr="00945DBC">
        <w:rPr>
          <w:lang w:val="pt-PT"/>
        </w:rPr>
        <w:t xml:space="preserve">D'Ignazio, C., &amp; Klein, L. F. (2020). </w:t>
      </w:r>
      <w:r w:rsidRPr="00945DBC">
        <w:rPr>
          <w:i/>
          <w:iCs/>
          <w:lang w:val="en-US"/>
        </w:rPr>
        <w:t>Data feminism</w:t>
      </w:r>
      <w:r w:rsidRPr="00945DBC">
        <w:rPr>
          <w:lang w:val="en-US"/>
        </w:rPr>
        <w:t xml:space="preserve">. MIT Press. </w:t>
      </w:r>
      <w:hyperlink r:id="rId75" w:history="1">
        <w:r w:rsidRPr="00945DBC">
          <w:rPr>
            <w:rStyle w:val="Hipervnculo"/>
            <w:lang w:val="en-US"/>
          </w:rPr>
          <w:t>https://doi.org/10.7551/mitpress/11805.001.0001</w:t>
        </w:r>
      </w:hyperlink>
    </w:p>
    <w:p w14:paraId="3C6AB162" w14:textId="77777777" w:rsidR="00CA484D" w:rsidRPr="00945DBC" w:rsidRDefault="00CA484D" w:rsidP="00CA484D">
      <w:pPr>
        <w:rPr>
          <w:lang w:val="en-US"/>
        </w:rPr>
      </w:pPr>
      <w:r w:rsidRPr="00945DBC">
        <w:rPr>
          <w:lang w:val="en-US"/>
        </w:rPr>
        <w:t xml:space="preserve">Dawson, P. (2021). </w:t>
      </w:r>
      <w:r w:rsidRPr="00945DBC">
        <w:rPr>
          <w:i/>
          <w:iCs/>
          <w:lang w:val="en-US"/>
        </w:rPr>
        <w:t>Defending assessment security in a digital world: Preventing e-cheating and supporting academic integrity in higher education</w:t>
      </w:r>
      <w:r w:rsidRPr="00945DBC">
        <w:rPr>
          <w:lang w:val="en-US"/>
        </w:rPr>
        <w:t xml:space="preserve">. Routledge. </w:t>
      </w:r>
      <w:hyperlink r:id="rId76" w:history="1">
        <w:r w:rsidRPr="00945DBC">
          <w:rPr>
            <w:rStyle w:val="Hipervnculo"/>
            <w:lang w:val="en-US"/>
          </w:rPr>
          <w:t>https://doi.org/10.4324/9780429324178</w:t>
        </w:r>
      </w:hyperlink>
    </w:p>
    <w:p w14:paraId="6423DBD5" w14:textId="77777777" w:rsidR="00CA484D" w:rsidRPr="00945DBC" w:rsidRDefault="00CA484D" w:rsidP="00CA484D">
      <w:pPr>
        <w:rPr>
          <w:lang w:val="en-US"/>
        </w:rPr>
      </w:pPr>
      <w:r w:rsidRPr="00945DBC">
        <w:rPr>
          <w:lang w:val="en-US"/>
        </w:rPr>
        <w:t xml:space="preserve">Dignum, V. (2019). </w:t>
      </w:r>
      <w:r w:rsidRPr="00945DBC">
        <w:rPr>
          <w:i/>
          <w:iCs/>
          <w:lang w:val="en-US"/>
        </w:rPr>
        <w:t>Responsible artificial intelligence: How to develop and use AI in a responsible way</w:t>
      </w:r>
      <w:r w:rsidRPr="00945DBC">
        <w:rPr>
          <w:lang w:val="en-US"/>
        </w:rPr>
        <w:t xml:space="preserve">. Springer. </w:t>
      </w:r>
      <w:hyperlink r:id="rId77" w:history="1">
        <w:r w:rsidRPr="00945DBC">
          <w:rPr>
            <w:rStyle w:val="Hipervnculo"/>
            <w:lang w:val="en-US"/>
          </w:rPr>
          <w:t>https://doi.org/10.1007/978-3-030-30371-6</w:t>
        </w:r>
      </w:hyperlink>
    </w:p>
    <w:p w14:paraId="4EB57569" w14:textId="77777777" w:rsidR="00CA484D" w:rsidRPr="006C4805" w:rsidRDefault="00CA484D" w:rsidP="00CA484D">
      <w:pPr>
        <w:rPr>
          <w:lang w:val="en-US"/>
        </w:rPr>
      </w:pPr>
      <w:r w:rsidRPr="00945DBC">
        <w:rPr>
          <w:lang w:val="en-US"/>
        </w:rPr>
        <w:t xml:space="preserve">Downing, S. M. (2006). Twelve steps for effective test development. In S. M. Downing &amp; T. M. </w:t>
      </w:r>
      <w:proofErr w:type="spellStart"/>
      <w:r w:rsidRPr="00945DBC">
        <w:rPr>
          <w:lang w:val="en-US"/>
        </w:rPr>
        <w:t>Haladyna</w:t>
      </w:r>
      <w:proofErr w:type="spellEnd"/>
      <w:r w:rsidRPr="00945DBC">
        <w:rPr>
          <w:lang w:val="en-US"/>
        </w:rPr>
        <w:t xml:space="preserve"> (Eds.), </w:t>
      </w:r>
      <w:r w:rsidRPr="00945DBC">
        <w:rPr>
          <w:i/>
          <w:iCs/>
          <w:lang w:val="en-US"/>
        </w:rPr>
        <w:t>Handbook of test development</w:t>
      </w:r>
      <w:r w:rsidRPr="00945DBC">
        <w:rPr>
          <w:lang w:val="en-US"/>
        </w:rPr>
        <w:t xml:space="preserve"> (pp. 3–25). </w:t>
      </w:r>
      <w:r w:rsidRPr="006C4805">
        <w:rPr>
          <w:lang w:val="en-US"/>
        </w:rPr>
        <w:t>Lawrence Erlbaum Associates.</w:t>
      </w:r>
    </w:p>
    <w:p w14:paraId="226620BA" w14:textId="77777777" w:rsidR="00CA484D" w:rsidRPr="00945DBC" w:rsidRDefault="00CA484D" w:rsidP="00CA484D">
      <w:pPr>
        <w:rPr>
          <w:lang w:val="en-US"/>
        </w:rPr>
      </w:pPr>
      <w:r w:rsidRPr="00945DBC">
        <w:rPr>
          <w:lang w:val="en-US"/>
        </w:rPr>
        <w:lastRenderedPageBreak/>
        <w:t xml:space="preserve">Eubanks, V. (2018). </w:t>
      </w:r>
      <w:r w:rsidRPr="00945DBC">
        <w:rPr>
          <w:i/>
          <w:iCs/>
          <w:lang w:val="en-US"/>
        </w:rPr>
        <w:t>Automating inequality: How high-tech tools profile, police, and punish the poor</w:t>
      </w:r>
      <w:r w:rsidRPr="00945DBC">
        <w:rPr>
          <w:lang w:val="en-US"/>
        </w:rPr>
        <w:t>. St. Martin's Press.</w:t>
      </w:r>
    </w:p>
    <w:p w14:paraId="43024268" w14:textId="77777777" w:rsidR="00CA484D" w:rsidRPr="00945DBC" w:rsidRDefault="00CA484D" w:rsidP="00CA484D">
      <w:pPr>
        <w:rPr>
          <w:lang w:val="en-US"/>
        </w:rPr>
      </w:pPr>
      <w:r w:rsidRPr="00945DBC">
        <w:rPr>
          <w:lang w:val="en-US"/>
        </w:rPr>
        <w:t xml:space="preserve">European Commission. (2022). </w:t>
      </w:r>
      <w:r w:rsidRPr="00945DBC">
        <w:rPr>
          <w:i/>
          <w:iCs/>
          <w:lang w:val="en-US"/>
        </w:rPr>
        <w:t>Ethical guidelines on the use of artificial intelligence and data in teaching and learning for educators</w:t>
      </w:r>
      <w:r w:rsidRPr="00945DBC">
        <w:rPr>
          <w:lang w:val="en-US"/>
        </w:rPr>
        <w:t xml:space="preserve">. Publications Office of the European Union. </w:t>
      </w:r>
      <w:hyperlink r:id="rId78" w:history="1">
        <w:r w:rsidRPr="00945DBC">
          <w:rPr>
            <w:rStyle w:val="Hipervnculo"/>
            <w:lang w:val="en-US"/>
          </w:rPr>
          <w:t>https://doi.org/10.2766/153756</w:t>
        </w:r>
      </w:hyperlink>
    </w:p>
    <w:p w14:paraId="48BA6A85" w14:textId="77777777" w:rsidR="00CA484D" w:rsidRPr="00945DBC" w:rsidRDefault="00CA484D" w:rsidP="00CA484D">
      <w:pPr>
        <w:rPr>
          <w:lang w:val="en-US"/>
        </w:rPr>
      </w:pPr>
      <w:r w:rsidRPr="00945DBC">
        <w:rPr>
          <w:lang w:val="en-US"/>
        </w:rPr>
        <w:t xml:space="preserve">European Parliament &amp; Council of the European Union. (2024). Regulation (EU) 2024/1689 laying down </w:t>
      </w:r>
      <w:proofErr w:type="spellStart"/>
      <w:r w:rsidRPr="00945DBC">
        <w:rPr>
          <w:lang w:val="en-US"/>
        </w:rPr>
        <w:t>harmonised</w:t>
      </w:r>
      <w:proofErr w:type="spellEnd"/>
      <w:r w:rsidRPr="00945DBC">
        <w:rPr>
          <w:lang w:val="en-US"/>
        </w:rPr>
        <w:t xml:space="preserve"> rules on artificial intelligence. </w:t>
      </w:r>
      <w:r w:rsidRPr="00945DBC">
        <w:rPr>
          <w:i/>
          <w:iCs/>
          <w:lang w:val="en-US"/>
        </w:rPr>
        <w:t>Official Journal of the European Union, L</w:t>
      </w:r>
      <w:r w:rsidRPr="00945DBC">
        <w:rPr>
          <w:lang w:val="en-US"/>
        </w:rPr>
        <w:t xml:space="preserve">, 2024/1689. </w:t>
      </w:r>
      <w:hyperlink r:id="rId79" w:history="1">
        <w:r w:rsidRPr="00945DBC">
          <w:rPr>
            <w:rStyle w:val="Hipervnculo"/>
            <w:lang w:val="en-US"/>
          </w:rPr>
          <w:t>https://eur-lex.europa.eu/eli/reg/2024/1689/oj</w:t>
        </w:r>
      </w:hyperlink>
    </w:p>
    <w:p w14:paraId="329548E2" w14:textId="77777777" w:rsidR="00CA484D" w:rsidRPr="00945DBC" w:rsidRDefault="00CA484D" w:rsidP="00CA484D">
      <w:pPr>
        <w:rPr>
          <w:lang w:val="en-US"/>
        </w:rPr>
      </w:pPr>
      <w:r w:rsidRPr="00945DBC">
        <w:rPr>
          <w:lang w:val="en-US"/>
        </w:rPr>
        <w:t xml:space="preserve">Fariani, R. I., Junus, K., &amp; Santoso, H. B. (2023). A systematic literature review on </w:t>
      </w:r>
      <w:proofErr w:type="spellStart"/>
      <w:r w:rsidRPr="00945DBC">
        <w:rPr>
          <w:lang w:val="en-US"/>
        </w:rPr>
        <w:t>personalised</w:t>
      </w:r>
      <w:proofErr w:type="spellEnd"/>
      <w:r w:rsidRPr="00945DBC">
        <w:rPr>
          <w:lang w:val="en-US"/>
        </w:rPr>
        <w:t xml:space="preserve"> learning in the higher education context. </w:t>
      </w:r>
      <w:r w:rsidRPr="00945DBC">
        <w:rPr>
          <w:i/>
          <w:iCs/>
          <w:lang w:val="en-US"/>
        </w:rPr>
        <w:t>Technology, Knowledge and Learning, 28</w:t>
      </w:r>
      <w:r w:rsidRPr="00945DBC">
        <w:rPr>
          <w:lang w:val="en-US"/>
        </w:rPr>
        <w:t xml:space="preserve">(2), 449–476. </w:t>
      </w:r>
      <w:hyperlink r:id="rId80" w:history="1">
        <w:r w:rsidRPr="00945DBC">
          <w:rPr>
            <w:rStyle w:val="Hipervnculo"/>
            <w:lang w:val="en-US"/>
          </w:rPr>
          <w:t>https://doi.org/10.1007/s10758-022-09628-4</w:t>
        </w:r>
      </w:hyperlink>
    </w:p>
    <w:p w14:paraId="2419D467" w14:textId="77777777" w:rsidR="00CA484D" w:rsidRPr="00945DBC" w:rsidRDefault="00CA484D" w:rsidP="00CA484D">
      <w:pPr>
        <w:rPr>
          <w:lang w:val="en-US"/>
        </w:rPr>
      </w:pPr>
      <w:proofErr w:type="spellStart"/>
      <w:r w:rsidRPr="00945DBC">
        <w:rPr>
          <w:lang w:val="en-US"/>
        </w:rPr>
        <w:t>Floridi</w:t>
      </w:r>
      <w:proofErr w:type="spellEnd"/>
      <w:r w:rsidRPr="00945DBC">
        <w:rPr>
          <w:lang w:val="en-US"/>
        </w:rPr>
        <w:t xml:space="preserve">, L., Cowls, J., </w:t>
      </w:r>
      <w:proofErr w:type="spellStart"/>
      <w:r w:rsidRPr="00945DBC">
        <w:rPr>
          <w:lang w:val="en-US"/>
        </w:rPr>
        <w:t>Beltrametti</w:t>
      </w:r>
      <w:proofErr w:type="spellEnd"/>
      <w:r w:rsidRPr="00945DBC">
        <w:rPr>
          <w:lang w:val="en-US"/>
        </w:rPr>
        <w:t xml:space="preserve">, M., Chatila, R., </w:t>
      </w:r>
      <w:proofErr w:type="spellStart"/>
      <w:r w:rsidRPr="00945DBC">
        <w:rPr>
          <w:lang w:val="en-US"/>
        </w:rPr>
        <w:t>Chazerand</w:t>
      </w:r>
      <w:proofErr w:type="spellEnd"/>
      <w:r w:rsidRPr="00945DBC">
        <w:rPr>
          <w:lang w:val="en-US"/>
        </w:rPr>
        <w:t xml:space="preserve">, P., Dignum, V., Luetge, C., Madelin, R., </w:t>
      </w:r>
      <w:proofErr w:type="spellStart"/>
      <w:r w:rsidRPr="00945DBC">
        <w:rPr>
          <w:lang w:val="en-US"/>
        </w:rPr>
        <w:t>Pagallo</w:t>
      </w:r>
      <w:proofErr w:type="spellEnd"/>
      <w:r w:rsidRPr="00945DBC">
        <w:rPr>
          <w:lang w:val="en-US"/>
        </w:rPr>
        <w:t xml:space="preserve">, U., Rossi, F., </w:t>
      </w:r>
      <w:proofErr w:type="gramStart"/>
      <w:r w:rsidRPr="00945DBC">
        <w:rPr>
          <w:lang w:val="en-US"/>
        </w:rPr>
        <w:t>Schafer, B.</w:t>
      </w:r>
      <w:proofErr w:type="gramEnd"/>
      <w:r w:rsidRPr="00945DBC">
        <w:rPr>
          <w:lang w:val="en-US"/>
        </w:rPr>
        <w:t xml:space="preserve">, Valcke, P., &amp; </w:t>
      </w:r>
      <w:proofErr w:type="spellStart"/>
      <w:r w:rsidRPr="00945DBC">
        <w:rPr>
          <w:lang w:val="en-US"/>
        </w:rPr>
        <w:t>Vayena</w:t>
      </w:r>
      <w:proofErr w:type="spellEnd"/>
      <w:r w:rsidRPr="00945DBC">
        <w:rPr>
          <w:lang w:val="en-US"/>
        </w:rPr>
        <w:t xml:space="preserve">, E. (2018). AI4People: An ethical framework for a good AI society. </w:t>
      </w:r>
      <w:r w:rsidRPr="00945DBC">
        <w:rPr>
          <w:i/>
          <w:iCs/>
          <w:lang w:val="en-US"/>
        </w:rPr>
        <w:t>Minds and Machines, 28</w:t>
      </w:r>
      <w:r w:rsidRPr="00945DBC">
        <w:rPr>
          <w:lang w:val="en-US"/>
        </w:rPr>
        <w:t xml:space="preserve">, 689–707. </w:t>
      </w:r>
      <w:hyperlink r:id="rId81" w:history="1">
        <w:r w:rsidRPr="00945DBC">
          <w:rPr>
            <w:rStyle w:val="Hipervnculo"/>
            <w:lang w:val="en-US"/>
          </w:rPr>
          <w:t>https://doi.org/10.1007/s11023-018-9482-5</w:t>
        </w:r>
      </w:hyperlink>
    </w:p>
    <w:p w14:paraId="0DF64624" w14:textId="77777777" w:rsidR="00CA484D" w:rsidRPr="00945DBC" w:rsidRDefault="00CA484D" w:rsidP="00CA484D">
      <w:pPr>
        <w:rPr>
          <w:lang w:val="en-US"/>
        </w:rPr>
      </w:pPr>
      <w:r w:rsidRPr="00945DBC">
        <w:rPr>
          <w:lang w:val="en-US"/>
        </w:rPr>
        <w:t xml:space="preserve">Gelman, A., Hill, J., &amp; </w:t>
      </w:r>
      <w:proofErr w:type="spellStart"/>
      <w:r w:rsidRPr="00945DBC">
        <w:rPr>
          <w:lang w:val="en-US"/>
        </w:rPr>
        <w:t>Vehtari</w:t>
      </w:r>
      <w:proofErr w:type="spellEnd"/>
      <w:r w:rsidRPr="00945DBC">
        <w:rPr>
          <w:lang w:val="en-US"/>
        </w:rPr>
        <w:t xml:space="preserve">, A. (2020). </w:t>
      </w:r>
      <w:r w:rsidRPr="00945DBC">
        <w:rPr>
          <w:i/>
          <w:iCs/>
          <w:lang w:val="en-US"/>
        </w:rPr>
        <w:t>Regression and other stories</w:t>
      </w:r>
      <w:r w:rsidRPr="00945DBC">
        <w:rPr>
          <w:lang w:val="en-US"/>
        </w:rPr>
        <w:t xml:space="preserve">. Cambridge University Press. </w:t>
      </w:r>
      <w:hyperlink r:id="rId82" w:history="1">
        <w:r w:rsidRPr="00945DBC">
          <w:rPr>
            <w:rStyle w:val="Hipervnculo"/>
            <w:lang w:val="en-US"/>
          </w:rPr>
          <w:t>https://doi.org/10.1017/9781139161879</w:t>
        </w:r>
      </w:hyperlink>
    </w:p>
    <w:p w14:paraId="3BED9AEF" w14:textId="77777777" w:rsidR="00CA484D" w:rsidRPr="00945DBC" w:rsidRDefault="00CA484D" w:rsidP="00CA484D">
      <w:pPr>
        <w:rPr>
          <w:lang w:val="en-US"/>
        </w:rPr>
      </w:pPr>
      <w:r w:rsidRPr="00945DBC">
        <w:rPr>
          <w:lang w:val="en-US"/>
        </w:rPr>
        <w:t xml:space="preserve">Goggin, G., &amp; Newell, C. (2003). </w:t>
      </w:r>
      <w:r w:rsidRPr="00945DBC">
        <w:rPr>
          <w:i/>
          <w:iCs/>
          <w:lang w:val="en-US"/>
        </w:rPr>
        <w:t>Digital disability: The social construction of disability in new media</w:t>
      </w:r>
      <w:r w:rsidRPr="00945DBC">
        <w:rPr>
          <w:lang w:val="en-US"/>
        </w:rPr>
        <w:t xml:space="preserve">. Rowman &amp; Littlefield. </w:t>
      </w:r>
      <w:hyperlink r:id="rId83" w:history="1">
        <w:r w:rsidRPr="00945DBC">
          <w:rPr>
            <w:rStyle w:val="Hipervnculo"/>
            <w:lang w:val="en-US"/>
          </w:rPr>
          <w:t>https://doi.org/10.5555/579095</w:t>
        </w:r>
      </w:hyperlink>
    </w:p>
    <w:p w14:paraId="255DA415" w14:textId="77777777" w:rsidR="00CA484D" w:rsidRPr="00945DBC" w:rsidRDefault="00CA484D" w:rsidP="00CA484D">
      <w:pPr>
        <w:rPr>
          <w:lang w:val="en-US"/>
        </w:rPr>
      </w:pPr>
      <w:r w:rsidRPr="00945DBC">
        <w:rPr>
          <w:lang w:val="en-US"/>
        </w:rPr>
        <w:t xml:space="preserve">Gusenbauer, M., &amp; Haddaway, N. R. (2020). Which academic search systems are suitable for systematic reviews or meta-analyses? </w:t>
      </w:r>
      <w:r w:rsidRPr="00945DBC">
        <w:rPr>
          <w:i/>
          <w:iCs/>
          <w:lang w:val="en-US"/>
        </w:rPr>
        <w:t>Research Synthesis Methods, 11</w:t>
      </w:r>
      <w:r w:rsidRPr="00945DBC">
        <w:rPr>
          <w:lang w:val="en-US"/>
        </w:rPr>
        <w:t xml:space="preserve">(2), 181–217. </w:t>
      </w:r>
      <w:hyperlink r:id="rId84" w:history="1">
        <w:r w:rsidRPr="00945DBC">
          <w:rPr>
            <w:rStyle w:val="Hipervnculo"/>
            <w:lang w:val="en-US"/>
          </w:rPr>
          <w:t>https://doi.org/10.1002/jrsm.1378</w:t>
        </w:r>
      </w:hyperlink>
    </w:p>
    <w:p w14:paraId="146C8AA1" w14:textId="77777777" w:rsidR="00CA484D" w:rsidRPr="00945DBC" w:rsidRDefault="00CA484D" w:rsidP="00CA484D">
      <w:pPr>
        <w:rPr>
          <w:lang w:val="en-US"/>
        </w:rPr>
      </w:pPr>
      <w:r w:rsidRPr="00945DBC">
        <w:rPr>
          <w:lang w:val="en-US"/>
        </w:rPr>
        <w:t xml:space="preserve">Hattie, J., &amp; Timperley, H. (2007). The power of feedback. </w:t>
      </w:r>
      <w:r w:rsidRPr="00945DBC">
        <w:rPr>
          <w:i/>
          <w:iCs/>
          <w:lang w:val="en-US"/>
        </w:rPr>
        <w:t>Review of Educational Research, 77</w:t>
      </w:r>
      <w:r w:rsidRPr="00945DBC">
        <w:rPr>
          <w:lang w:val="en-US"/>
        </w:rPr>
        <w:t xml:space="preserve">(1), 81–112. </w:t>
      </w:r>
      <w:hyperlink r:id="rId85" w:history="1">
        <w:r w:rsidRPr="00945DBC">
          <w:rPr>
            <w:rStyle w:val="Hipervnculo"/>
            <w:lang w:val="en-US"/>
          </w:rPr>
          <w:t>https://doi.org/10.3102/003465430298487</w:t>
        </w:r>
      </w:hyperlink>
    </w:p>
    <w:p w14:paraId="230F0387" w14:textId="77777777" w:rsidR="00CA484D" w:rsidRPr="00945DBC" w:rsidRDefault="00CA484D" w:rsidP="00CA484D">
      <w:pPr>
        <w:rPr>
          <w:lang w:val="en-US"/>
        </w:rPr>
      </w:pPr>
      <w:r w:rsidRPr="00945DBC">
        <w:rPr>
          <w:lang w:val="en-US"/>
        </w:rPr>
        <w:t xml:space="preserve">Helsper, E. J. (2021). </w:t>
      </w:r>
      <w:r w:rsidRPr="00945DBC">
        <w:rPr>
          <w:i/>
          <w:iCs/>
          <w:lang w:val="en-US"/>
        </w:rPr>
        <w:t xml:space="preserve">The digital </w:t>
      </w:r>
      <w:proofErr w:type="gramStart"/>
      <w:r w:rsidRPr="00945DBC">
        <w:rPr>
          <w:i/>
          <w:iCs/>
          <w:lang w:val="en-US"/>
        </w:rPr>
        <w:t>disconnect</w:t>
      </w:r>
      <w:proofErr w:type="gramEnd"/>
      <w:r w:rsidRPr="00945DBC">
        <w:rPr>
          <w:i/>
          <w:iCs/>
          <w:lang w:val="en-US"/>
        </w:rPr>
        <w:t>: The social causes and consequences of digital inequalities</w:t>
      </w:r>
      <w:r w:rsidRPr="00945DBC">
        <w:rPr>
          <w:lang w:val="en-US"/>
        </w:rPr>
        <w:t xml:space="preserve">. SAGE. </w:t>
      </w:r>
      <w:hyperlink r:id="rId86" w:history="1">
        <w:r w:rsidRPr="00945DBC">
          <w:rPr>
            <w:rStyle w:val="Hipervnculo"/>
            <w:lang w:val="en-US"/>
          </w:rPr>
          <w:t>https://doi.org/10.4135/9781526492982</w:t>
        </w:r>
      </w:hyperlink>
    </w:p>
    <w:p w14:paraId="12071EFF" w14:textId="77777777" w:rsidR="00CA484D" w:rsidRPr="00945DBC" w:rsidRDefault="00CA484D" w:rsidP="00CA484D">
      <w:pPr>
        <w:rPr>
          <w:lang w:val="en-US"/>
        </w:rPr>
      </w:pPr>
      <w:r w:rsidRPr="00945DBC">
        <w:rPr>
          <w:lang w:val="en-US"/>
        </w:rPr>
        <w:t xml:space="preserve">Higgins, J. P. T., Thomas, J., Chandler, J., Cumpston, M., Li, T., Page, M. J., &amp; Welch, V. A. (Eds.). (2023). </w:t>
      </w:r>
      <w:r w:rsidRPr="00945DBC">
        <w:rPr>
          <w:i/>
          <w:iCs/>
          <w:lang w:val="en-US"/>
        </w:rPr>
        <w:t>Cochrane handbook for systematic reviews of interventions</w:t>
      </w:r>
      <w:r w:rsidRPr="00945DBC">
        <w:rPr>
          <w:lang w:val="en-US"/>
        </w:rPr>
        <w:t xml:space="preserve"> (Version 6.4). Cochrane. </w:t>
      </w:r>
      <w:hyperlink r:id="rId87" w:history="1">
        <w:r w:rsidRPr="00945DBC">
          <w:rPr>
            <w:rStyle w:val="Hipervnculo"/>
            <w:lang w:val="en-US"/>
          </w:rPr>
          <w:t>https://www.training.cochrane.org/handbook</w:t>
        </w:r>
      </w:hyperlink>
    </w:p>
    <w:p w14:paraId="363CE505" w14:textId="77777777" w:rsidR="00CA484D" w:rsidRPr="00945DBC" w:rsidRDefault="00CA484D" w:rsidP="00CA484D">
      <w:pPr>
        <w:rPr>
          <w:lang w:val="en-US"/>
        </w:rPr>
      </w:pPr>
      <w:proofErr w:type="spellStart"/>
      <w:r w:rsidRPr="00945DBC">
        <w:rPr>
          <w:lang w:val="en-US"/>
        </w:rPr>
        <w:t>Ifenthaler</w:t>
      </w:r>
      <w:proofErr w:type="spellEnd"/>
      <w:r w:rsidRPr="00945DBC">
        <w:rPr>
          <w:lang w:val="en-US"/>
        </w:rPr>
        <w:t xml:space="preserve">, D., &amp; Yau, J. Y. K. (2020). </w:t>
      </w:r>
      <w:proofErr w:type="spellStart"/>
      <w:r w:rsidRPr="00945DBC">
        <w:rPr>
          <w:lang w:val="en-US"/>
        </w:rPr>
        <w:t>Utilising</w:t>
      </w:r>
      <w:proofErr w:type="spellEnd"/>
      <w:r w:rsidRPr="00945DBC">
        <w:rPr>
          <w:lang w:val="en-US"/>
        </w:rPr>
        <w:t xml:space="preserve"> learning analytics to support study success in higher education: A systematic review. </w:t>
      </w:r>
      <w:r w:rsidRPr="00945DBC">
        <w:rPr>
          <w:i/>
          <w:iCs/>
          <w:lang w:val="en-US"/>
        </w:rPr>
        <w:t>Educational Technology Research and Development, 68</w:t>
      </w:r>
      <w:r w:rsidRPr="00945DBC">
        <w:rPr>
          <w:lang w:val="en-US"/>
        </w:rPr>
        <w:t xml:space="preserve">, 1961–1990. </w:t>
      </w:r>
      <w:hyperlink r:id="rId88" w:history="1">
        <w:r w:rsidRPr="00945DBC">
          <w:rPr>
            <w:rStyle w:val="Hipervnculo"/>
            <w:lang w:val="en-US"/>
          </w:rPr>
          <w:t>https://doi.org/10.1007/s11423-020-09788-z</w:t>
        </w:r>
      </w:hyperlink>
    </w:p>
    <w:p w14:paraId="592AB620" w14:textId="77777777" w:rsidR="00CA484D" w:rsidRPr="00CA484D" w:rsidRDefault="00CA484D" w:rsidP="00CA484D">
      <w:pPr>
        <w:rPr>
          <w:lang w:val="es-MX"/>
        </w:rPr>
      </w:pPr>
      <w:r w:rsidRPr="00945DBC">
        <w:rPr>
          <w:lang w:val="en-US"/>
        </w:rPr>
        <w:lastRenderedPageBreak/>
        <w:t xml:space="preserve">Instituto Nacional de </w:t>
      </w:r>
      <w:proofErr w:type="spellStart"/>
      <w:r w:rsidRPr="00945DBC">
        <w:rPr>
          <w:lang w:val="en-US"/>
        </w:rPr>
        <w:t>Estadística</w:t>
      </w:r>
      <w:proofErr w:type="spellEnd"/>
      <w:r w:rsidRPr="00945DBC">
        <w:rPr>
          <w:lang w:val="en-US"/>
        </w:rPr>
        <w:t xml:space="preserve"> y Censos. </w:t>
      </w:r>
      <w:r w:rsidRPr="00CA484D">
        <w:rPr>
          <w:lang w:val="es-MX"/>
        </w:rPr>
        <w:t xml:space="preserve">(2025). </w:t>
      </w:r>
      <w:r w:rsidRPr="00CA484D">
        <w:rPr>
          <w:i/>
          <w:iCs/>
          <w:lang w:val="es-MX"/>
        </w:rPr>
        <w:t>Tecnologías de la información y comunicación</w:t>
      </w:r>
      <w:r w:rsidRPr="00CA484D">
        <w:rPr>
          <w:lang w:val="es-MX"/>
        </w:rPr>
        <w:t xml:space="preserve">. </w:t>
      </w:r>
      <w:hyperlink r:id="rId89" w:history="1">
        <w:r w:rsidRPr="00CA484D">
          <w:rPr>
            <w:rStyle w:val="Hipervnculo"/>
            <w:lang w:val="es-MX"/>
          </w:rPr>
          <w:t>https://www.ecuadorencifras.gob.ec/tecnologias-de-la-informacion-y-comunicacion-tic/</w:t>
        </w:r>
      </w:hyperlink>
    </w:p>
    <w:p w14:paraId="5699C423" w14:textId="77777777" w:rsidR="00CA484D" w:rsidRPr="00945DBC" w:rsidRDefault="00CA484D" w:rsidP="00CA484D">
      <w:pPr>
        <w:rPr>
          <w:lang w:val="en-US"/>
        </w:rPr>
      </w:pPr>
      <w:r w:rsidRPr="00945DBC">
        <w:rPr>
          <w:lang w:val="en-US"/>
        </w:rPr>
        <w:t xml:space="preserve">International Center for Academic Integrity. (2021). </w:t>
      </w:r>
      <w:r w:rsidRPr="00945DBC">
        <w:rPr>
          <w:i/>
          <w:iCs/>
          <w:lang w:val="en-US"/>
        </w:rPr>
        <w:t>The fundamental values of academic integrity</w:t>
      </w:r>
      <w:r w:rsidRPr="00945DBC">
        <w:rPr>
          <w:lang w:val="en-US"/>
        </w:rPr>
        <w:t xml:space="preserve"> (3rd ed.). </w:t>
      </w:r>
      <w:hyperlink r:id="rId90" w:history="1">
        <w:r w:rsidRPr="00945DBC">
          <w:rPr>
            <w:rStyle w:val="Hipervnculo"/>
            <w:lang w:val="en-US"/>
          </w:rPr>
          <w:t>https://academicintegrity.org/resources/fundamental-values</w:t>
        </w:r>
      </w:hyperlink>
    </w:p>
    <w:p w14:paraId="64065CBD" w14:textId="77777777" w:rsidR="00CA484D" w:rsidRPr="00945DBC" w:rsidRDefault="00CA484D" w:rsidP="00CA484D">
      <w:pPr>
        <w:rPr>
          <w:lang w:val="en-US"/>
        </w:rPr>
      </w:pPr>
      <w:r w:rsidRPr="00945DBC">
        <w:rPr>
          <w:lang w:val="en-US"/>
        </w:rPr>
        <w:t xml:space="preserve">International Committee of Medical Journal Editors. (2026). </w:t>
      </w:r>
      <w:r w:rsidRPr="00945DBC">
        <w:rPr>
          <w:i/>
          <w:iCs/>
          <w:lang w:val="en-US"/>
        </w:rPr>
        <w:t>Recommendations for the conduct, reporting, editing, and publication of scholarly work in medical journals</w:t>
      </w:r>
      <w:r w:rsidRPr="00945DBC">
        <w:rPr>
          <w:lang w:val="en-US"/>
        </w:rPr>
        <w:t xml:space="preserve">. </w:t>
      </w:r>
      <w:hyperlink r:id="rId91" w:history="1">
        <w:r w:rsidRPr="00945DBC">
          <w:rPr>
            <w:rStyle w:val="Hipervnculo"/>
            <w:lang w:val="en-US"/>
          </w:rPr>
          <w:t>https://www.icmje.org/recommendations/</w:t>
        </w:r>
      </w:hyperlink>
    </w:p>
    <w:p w14:paraId="63209952" w14:textId="77777777" w:rsidR="00CA484D" w:rsidRPr="00945DBC" w:rsidRDefault="00CA484D" w:rsidP="00CA484D">
      <w:pPr>
        <w:rPr>
          <w:lang w:val="en-US"/>
        </w:rPr>
      </w:pPr>
      <w:r w:rsidRPr="00945DBC">
        <w:rPr>
          <w:lang w:val="en-US"/>
        </w:rPr>
        <w:t xml:space="preserve">International Organization for Standardization. (2019). </w:t>
      </w:r>
      <w:r w:rsidRPr="00945DBC">
        <w:rPr>
          <w:i/>
          <w:iCs/>
          <w:lang w:val="en-US"/>
        </w:rPr>
        <w:t>ISO 30071-1:2019, Code of practice for creating accessible ICT products and services</w:t>
      </w:r>
      <w:r w:rsidRPr="00945DBC">
        <w:rPr>
          <w:lang w:val="en-US"/>
        </w:rPr>
        <w:t xml:space="preserve">. </w:t>
      </w:r>
      <w:hyperlink r:id="rId92" w:history="1">
        <w:r w:rsidRPr="00945DBC">
          <w:rPr>
            <w:rStyle w:val="Hipervnculo"/>
            <w:lang w:val="en-US"/>
          </w:rPr>
          <w:t>https://www.iso.org/standard/70913.html</w:t>
        </w:r>
      </w:hyperlink>
    </w:p>
    <w:p w14:paraId="74A6D6BF" w14:textId="77777777" w:rsidR="00CA484D" w:rsidRPr="00945DBC" w:rsidRDefault="00CA484D" w:rsidP="00CA484D">
      <w:pPr>
        <w:rPr>
          <w:lang w:val="en-US"/>
        </w:rPr>
      </w:pPr>
      <w:r w:rsidRPr="00945DBC">
        <w:rPr>
          <w:lang w:val="en-US"/>
        </w:rPr>
        <w:t xml:space="preserve">International Organization for Standardization. (2023). </w:t>
      </w:r>
      <w:r w:rsidRPr="00945DBC">
        <w:rPr>
          <w:i/>
          <w:iCs/>
          <w:lang w:val="en-US"/>
        </w:rPr>
        <w:t>ISO/IEC 42001:2023, Information technology, artificial intelligence, management system</w:t>
      </w:r>
      <w:r w:rsidRPr="00945DBC">
        <w:rPr>
          <w:lang w:val="en-US"/>
        </w:rPr>
        <w:t xml:space="preserve">. </w:t>
      </w:r>
      <w:hyperlink r:id="rId93" w:history="1">
        <w:r w:rsidRPr="00945DBC">
          <w:rPr>
            <w:rStyle w:val="Hipervnculo"/>
            <w:lang w:val="en-US"/>
          </w:rPr>
          <w:t>https://www.iso.org/standard/81230.html</w:t>
        </w:r>
      </w:hyperlink>
    </w:p>
    <w:p w14:paraId="3F89562C" w14:textId="77777777" w:rsidR="00CA484D" w:rsidRPr="00CA484D" w:rsidRDefault="00CA484D" w:rsidP="00CA484D">
      <w:pPr>
        <w:rPr>
          <w:lang w:val="es-MX"/>
        </w:rPr>
      </w:pPr>
      <w:r w:rsidRPr="00945DBC">
        <w:rPr>
          <w:lang w:val="en-US"/>
        </w:rPr>
        <w:t xml:space="preserve">International Telecommunication Union. (2025). </w:t>
      </w:r>
      <w:r w:rsidRPr="00945DBC">
        <w:rPr>
          <w:i/>
          <w:iCs/>
          <w:lang w:val="en-US"/>
        </w:rPr>
        <w:t>Facts and figures 2025</w:t>
      </w:r>
      <w:r w:rsidRPr="00945DBC">
        <w:rPr>
          <w:lang w:val="en-US"/>
        </w:rPr>
        <w:t xml:space="preserve">. </w:t>
      </w:r>
      <w:hyperlink r:id="rId94" w:history="1">
        <w:r w:rsidRPr="00CA484D">
          <w:rPr>
            <w:rStyle w:val="Hipervnculo"/>
            <w:lang w:val="es-MX"/>
          </w:rPr>
          <w:t>https://www.itu.int/itu-d/reports/statistics/facts-figures-2025/</w:t>
        </w:r>
      </w:hyperlink>
    </w:p>
    <w:p w14:paraId="12BBA855" w14:textId="77777777" w:rsidR="00CA484D" w:rsidRPr="00945DBC" w:rsidRDefault="00CA484D" w:rsidP="00CA484D">
      <w:pPr>
        <w:rPr>
          <w:lang w:val="en-US"/>
        </w:rPr>
      </w:pPr>
      <w:r w:rsidRPr="00CA484D">
        <w:rPr>
          <w:lang w:val="es-MX"/>
        </w:rPr>
        <w:t xml:space="preserve">Jobin, A., Ienca, M., &amp; </w:t>
      </w:r>
      <w:proofErr w:type="spellStart"/>
      <w:r w:rsidRPr="00CA484D">
        <w:rPr>
          <w:lang w:val="es-MX"/>
        </w:rPr>
        <w:t>Vayena</w:t>
      </w:r>
      <w:proofErr w:type="spellEnd"/>
      <w:r w:rsidRPr="00CA484D">
        <w:rPr>
          <w:lang w:val="es-MX"/>
        </w:rPr>
        <w:t xml:space="preserve">, E. (2019). </w:t>
      </w:r>
      <w:r w:rsidRPr="00945DBC">
        <w:rPr>
          <w:lang w:val="en-US"/>
        </w:rPr>
        <w:t xml:space="preserve">The global landscape of AI ethics guidelines. </w:t>
      </w:r>
      <w:r w:rsidRPr="00945DBC">
        <w:rPr>
          <w:i/>
          <w:iCs/>
          <w:lang w:val="en-US"/>
        </w:rPr>
        <w:t>Nature Machine Intelligence, 1</w:t>
      </w:r>
      <w:r w:rsidRPr="00945DBC">
        <w:rPr>
          <w:lang w:val="en-US"/>
        </w:rPr>
        <w:t xml:space="preserve">, 389–399. </w:t>
      </w:r>
      <w:hyperlink r:id="rId95" w:history="1">
        <w:r w:rsidRPr="00945DBC">
          <w:rPr>
            <w:rStyle w:val="Hipervnculo"/>
            <w:lang w:val="en-US"/>
          </w:rPr>
          <w:t>https://doi.org/10.1038/s42256-019-0088-2</w:t>
        </w:r>
      </w:hyperlink>
    </w:p>
    <w:p w14:paraId="44359042" w14:textId="77777777" w:rsidR="00CA484D" w:rsidRPr="00945DBC" w:rsidRDefault="00CA484D" w:rsidP="00CA484D">
      <w:pPr>
        <w:rPr>
          <w:lang w:val="en-US"/>
        </w:rPr>
      </w:pPr>
      <w:r w:rsidRPr="00945DBC">
        <w:rPr>
          <w:lang w:val="en-US"/>
        </w:rPr>
        <w:t xml:space="preserve">Kane, M. T. (2013). Validating the interpretations and uses of test scores. </w:t>
      </w:r>
      <w:r w:rsidRPr="00945DBC">
        <w:rPr>
          <w:i/>
          <w:iCs/>
          <w:lang w:val="en-US"/>
        </w:rPr>
        <w:t>Journal of Educational Measurement, 50</w:t>
      </w:r>
      <w:r w:rsidRPr="00945DBC">
        <w:rPr>
          <w:lang w:val="en-US"/>
        </w:rPr>
        <w:t xml:space="preserve">(1), 1–73. </w:t>
      </w:r>
      <w:hyperlink r:id="rId96" w:history="1">
        <w:r w:rsidRPr="00945DBC">
          <w:rPr>
            <w:rStyle w:val="Hipervnculo"/>
            <w:lang w:val="en-US"/>
          </w:rPr>
          <w:t>https://doi.org/10.1111/jedm.12000</w:t>
        </w:r>
      </w:hyperlink>
    </w:p>
    <w:p w14:paraId="55EC0379" w14:textId="77777777" w:rsidR="00CA484D" w:rsidRPr="00945DBC" w:rsidRDefault="00CA484D" w:rsidP="00CA484D">
      <w:pPr>
        <w:rPr>
          <w:lang w:val="en-US"/>
        </w:rPr>
      </w:pPr>
      <w:proofErr w:type="spellStart"/>
      <w:r w:rsidRPr="00945DBC">
        <w:rPr>
          <w:lang w:val="en-US"/>
        </w:rPr>
        <w:t>Kasneci</w:t>
      </w:r>
      <w:proofErr w:type="spellEnd"/>
      <w:r w:rsidRPr="00945DBC">
        <w:rPr>
          <w:lang w:val="en-US"/>
        </w:rPr>
        <w:t xml:space="preserve">, E., Sessler, K., </w:t>
      </w:r>
      <w:proofErr w:type="spellStart"/>
      <w:r w:rsidRPr="00945DBC">
        <w:rPr>
          <w:lang w:val="en-US"/>
        </w:rPr>
        <w:t>Küchemann</w:t>
      </w:r>
      <w:proofErr w:type="spellEnd"/>
      <w:r w:rsidRPr="00945DBC">
        <w:rPr>
          <w:lang w:val="en-US"/>
        </w:rPr>
        <w:t xml:space="preserve">, S., Bannert, M., Dementieva, D., Fischer, F., Gasser, U., Groh, G., Günnemann, S., </w:t>
      </w:r>
      <w:proofErr w:type="spellStart"/>
      <w:r w:rsidRPr="00945DBC">
        <w:rPr>
          <w:lang w:val="en-US"/>
        </w:rPr>
        <w:t>Hüllermeier</w:t>
      </w:r>
      <w:proofErr w:type="spellEnd"/>
      <w:r w:rsidRPr="00945DBC">
        <w:rPr>
          <w:lang w:val="en-US"/>
        </w:rPr>
        <w:t xml:space="preserve">, E., </w:t>
      </w:r>
      <w:proofErr w:type="spellStart"/>
      <w:r w:rsidRPr="00945DBC">
        <w:rPr>
          <w:lang w:val="en-US"/>
        </w:rPr>
        <w:t>Krusche</w:t>
      </w:r>
      <w:proofErr w:type="spellEnd"/>
      <w:r w:rsidRPr="00945DBC">
        <w:rPr>
          <w:lang w:val="en-US"/>
        </w:rPr>
        <w:t xml:space="preserve">, S., </w:t>
      </w:r>
      <w:proofErr w:type="spellStart"/>
      <w:r w:rsidRPr="00945DBC">
        <w:rPr>
          <w:lang w:val="en-US"/>
        </w:rPr>
        <w:t>Kutyniok</w:t>
      </w:r>
      <w:proofErr w:type="spellEnd"/>
      <w:r w:rsidRPr="00945DBC">
        <w:rPr>
          <w:lang w:val="en-US"/>
        </w:rPr>
        <w:t xml:space="preserve">, G., Michaeli, T., </w:t>
      </w:r>
      <w:proofErr w:type="spellStart"/>
      <w:r w:rsidRPr="00945DBC">
        <w:rPr>
          <w:lang w:val="en-US"/>
        </w:rPr>
        <w:t>Nerdel</w:t>
      </w:r>
      <w:proofErr w:type="spellEnd"/>
      <w:r w:rsidRPr="00945DBC">
        <w:rPr>
          <w:lang w:val="en-US"/>
        </w:rPr>
        <w:t xml:space="preserve">, C., Pfeffer, J., </w:t>
      </w:r>
      <w:proofErr w:type="spellStart"/>
      <w:r w:rsidRPr="00945DBC">
        <w:rPr>
          <w:lang w:val="en-US"/>
        </w:rPr>
        <w:t>Poquet</w:t>
      </w:r>
      <w:proofErr w:type="spellEnd"/>
      <w:r w:rsidRPr="00945DBC">
        <w:rPr>
          <w:lang w:val="en-US"/>
        </w:rPr>
        <w:t xml:space="preserve">, O., Sailer, M., Schmidt, A., Seidel, T., … </w:t>
      </w:r>
      <w:proofErr w:type="spellStart"/>
      <w:r w:rsidRPr="00945DBC">
        <w:rPr>
          <w:lang w:val="en-US"/>
        </w:rPr>
        <w:t>Kasneci</w:t>
      </w:r>
      <w:proofErr w:type="spellEnd"/>
      <w:r w:rsidRPr="00945DBC">
        <w:rPr>
          <w:lang w:val="en-US"/>
        </w:rPr>
        <w:t xml:space="preserve">, G. (2023). ChatGPT for good? On opportunities and challenges of large language models for education. </w:t>
      </w:r>
      <w:r w:rsidRPr="00945DBC">
        <w:rPr>
          <w:i/>
          <w:iCs/>
          <w:lang w:val="en-US"/>
        </w:rPr>
        <w:t>Learning and Individual Differences, 103</w:t>
      </w:r>
      <w:r w:rsidRPr="00945DBC">
        <w:rPr>
          <w:lang w:val="en-US"/>
        </w:rPr>
        <w:t xml:space="preserve">, 102274. </w:t>
      </w:r>
      <w:hyperlink r:id="rId97" w:history="1">
        <w:r w:rsidRPr="00945DBC">
          <w:rPr>
            <w:rStyle w:val="Hipervnculo"/>
            <w:lang w:val="en-US"/>
          </w:rPr>
          <w:t>https://doi.org/10.1016/j.lindif.2023.102274</w:t>
        </w:r>
      </w:hyperlink>
    </w:p>
    <w:p w14:paraId="5A4E2E71" w14:textId="77777777" w:rsidR="00CA484D" w:rsidRPr="00945DBC" w:rsidRDefault="00CA484D" w:rsidP="00CA484D">
      <w:pPr>
        <w:rPr>
          <w:lang w:val="en-US"/>
        </w:rPr>
      </w:pPr>
      <w:r w:rsidRPr="00945DBC">
        <w:rPr>
          <w:lang w:val="en-US"/>
        </w:rPr>
        <w:t xml:space="preserve">Kroll, J. A., Huey, J., Barocas, S., Felten, E. W., </w:t>
      </w:r>
      <w:proofErr w:type="spellStart"/>
      <w:r w:rsidRPr="00945DBC">
        <w:rPr>
          <w:lang w:val="en-US"/>
        </w:rPr>
        <w:t>Reidenberg</w:t>
      </w:r>
      <w:proofErr w:type="spellEnd"/>
      <w:r w:rsidRPr="00945DBC">
        <w:rPr>
          <w:lang w:val="en-US"/>
        </w:rPr>
        <w:t xml:space="preserve">, J. R., Robinson, D. G., &amp; Yu, H. (2017). Accountable algorithms. </w:t>
      </w:r>
      <w:r w:rsidRPr="00945DBC">
        <w:rPr>
          <w:i/>
          <w:iCs/>
          <w:lang w:val="en-US"/>
        </w:rPr>
        <w:t>University of Pennsylvania Law Review, 165</w:t>
      </w:r>
      <w:r w:rsidRPr="00945DBC">
        <w:rPr>
          <w:lang w:val="en-US"/>
        </w:rPr>
        <w:t xml:space="preserve">(3), 633–705. </w:t>
      </w:r>
      <w:hyperlink r:id="rId98" w:history="1">
        <w:r w:rsidRPr="00945DBC">
          <w:rPr>
            <w:rStyle w:val="Hipervnculo"/>
            <w:lang w:val="en-US"/>
          </w:rPr>
          <w:t>https://scholarship.law.upenn.edu/penn_law_review/vol165/iss3/3</w:t>
        </w:r>
      </w:hyperlink>
    </w:p>
    <w:p w14:paraId="04589E10" w14:textId="77777777" w:rsidR="00CA484D" w:rsidRPr="00945DBC" w:rsidRDefault="00CA484D" w:rsidP="00CA484D">
      <w:pPr>
        <w:rPr>
          <w:lang w:val="en-US"/>
        </w:rPr>
      </w:pPr>
      <w:r w:rsidRPr="00945DBC">
        <w:rPr>
          <w:lang w:val="en-US"/>
        </w:rPr>
        <w:t xml:space="preserve">Kulik, J. A., &amp; Fletcher, J. D. (2016). Effectiveness of intelligent tutoring systems: A meta-analytic review. </w:t>
      </w:r>
      <w:r w:rsidRPr="00945DBC">
        <w:rPr>
          <w:i/>
          <w:iCs/>
          <w:lang w:val="en-US"/>
        </w:rPr>
        <w:t>Review of Educational Research, 86</w:t>
      </w:r>
      <w:r w:rsidRPr="00945DBC">
        <w:rPr>
          <w:lang w:val="en-US"/>
        </w:rPr>
        <w:t xml:space="preserve">(1), 42–78. </w:t>
      </w:r>
      <w:hyperlink r:id="rId99" w:history="1">
        <w:r w:rsidRPr="00945DBC">
          <w:rPr>
            <w:rStyle w:val="Hipervnculo"/>
            <w:lang w:val="en-US"/>
          </w:rPr>
          <w:t>https://doi.org/10.3102/0034654315581420</w:t>
        </w:r>
      </w:hyperlink>
    </w:p>
    <w:p w14:paraId="56B48CB3" w14:textId="77777777" w:rsidR="00CA484D" w:rsidRPr="00945DBC" w:rsidRDefault="00CA484D" w:rsidP="00CA484D">
      <w:pPr>
        <w:rPr>
          <w:lang w:val="en-US"/>
        </w:rPr>
      </w:pPr>
      <w:proofErr w:type="spellStart"/>
      <w:r w:rsidRPr="00945DBC">
        <w:rPr>
          <w:lang w:val="en-US"/>
        </w:rPr>
        <w:t>Lakens</w:t>
      </w:r>
      <w:proofErr w:type="spellEnd"/>
      <w:r w:rsidRPr="00945DBC">
        <w:rPr>
          <w:lang w:val="en-US"/>
        </w:rPr>
        <w:t xml:space="preserve">, D. (2022). Sample size justification. </w:t>
      </w:r>
      <w:r w:rsidRPr="00945DBC">
        <w:rPr>
          <w:i/>
          <w:iCs/>
          <w:lang w:val="en-US"/>
        </w:rPr>
        <w:t>Collabra: Psychology, 8</w:t>
      </w:r>
      <w:r w:rsidRPr="00945DBC">
        <w:rPr>
          <w:lang w:val="en-US"/>
        </w:rPr>
        <w:t xml:space="preserve">(1), 33267. </w:t>
      </w:r>
      <w:hyperlink r:id="rId100" w:history="1">
        <w:r w:rsidRPr="00945DBC">
          <w:rPr>
            <w:rStyle w:val="Hipervnculo"/>
            <w:lang w:val="en-US"/>
          </w:rPr>
          <w:t>https://doi.org/10.1525/collabra.33267</w:t>
        </w:r>
      </w:hyperlink>
    </w:p>
    <w:p w14:paraId="67869467" w14:textId="77777777" w:rsidR="00CA484D" w:rsidRPr="006C4805" w:rsidRDefault="00CA484D" w:rsidP="00CA484D">
      <w:pPr>
        <w:rPr>
          <w:lang w:val="en-US"/>
        </w:rPr>
      </w:pPr>
      <w:proofErr w:type="spellStart"/>
      <w:r w:rsidRPr="00945DBC">
        <w:rPr>
          <w:lang w:val="en-US"/>
        </w:rPr>
        <w:t>Laurillard</w:t>
      </w:r>
      <w:proofErr w:type="spellEnd"/>
      <w:r w:rsidRPr="00945DBC">
        <w:rPr>
          <w:lang w:val="en-US"/>
        </w:rPr>
        <w:t xml:space="preserve">, D. (2012). </w:t>
      </w:r>
      <w:r w:rsidRPr="00945DBC">
        <w:rPr>
          <w:i/>
          <w:iCs/>
          <w:lang w:val="en-US"/>
        </w:rPr>
        <w:t>Teaching as a design science: Building pedagogical patterns for learning and technology</w:t>
      </w:r>
      <w:r w:rsidRPr="00945DBC">
        <w:rPr>
          <w:lang w:val="en-US"/>
        </w:rPr>
        <w:t xml:space="preserve">. </w:t>
      </w:r>
      <w:r w:rsidRPr="006C4805">
        <w:rPr>
          <w:lang w:val="en-US"/>
        </w:rPr>
        <w:t xml:space="preserve">Routledge. </w:t>
      </w:r>
      <w:hyperlink r:id="rId101" w:history="1">
        <w:r w:rsidRPr="006C4805">
          <w:rPr>
            <w:rStyle w:val="Hipervnculo"/>
            <w:lang w:val="en-US"/>
          </w:rPr>
          <w:t>https://doi.org/10.4324/9780203125083</w:t>
        </w:r>
      </w:hyperlink>
    </w:p>
    <w:p w14:paraId="30F82A68" w14:textId="77777777" w:rsidR="00CA484D" w:rsidRPr="00945DBC" w:rsidRDefault="00CA484D" w:rsidP="00CA484D">
      <w:pPr>
        <w:rPr>
          <w:lang w:val="en-US"/>
        </w:rPr>
      </w:pPr>
      <w:r w:rsidRPr="00945DBC">
        <w:rPr>
          <w:lang w:val="en-US"/>
        </w:rPr>
        <w:lastRenderedPageBreak/>
        <w:t xml:space="preserve">Lazar, J., Goldstein, D. F., &amp; Taylor, A. (2015). </w:t>
      </w:r>
      <w:r w:rsidRPr="00945DBC">
        <w:rPr>
          <w:i/>
          <w:iCs/>
          <w:lang w:val="en-US"/>
        </w:rPr>
        <w:t>Ensuring digital accessibility through process and policy</w:t>
      </w:r>
      <w:r w:rsidRPr="00945DBC">
        <w:rPr>
          <w:lang w:val="en-US"/>
        </w:rPr>
        <w:t xml:space="preserve">. Morgan Kaufmann. </w:t>
      </w:r>
      <w:hyperlink r:id="rId102" w:history="1">
        <w:r w:rsidRPr="00945DBC">
          <w:rPr>
            <w:rStyle w:val="Hipervnculo"/>
            <w:lang w:val="en-US"/>
          </w:rPr>
          <w:t>https://doi.org/10.5555/2815674</w:t>
        </w:r>
      </w:hyperlink>
    </w:p>
    <w:p w14:paraId="3B7F9C57" w14:textId="77777777" w:rsidR="00CA484D" w:rsidRPr="00945DBC" w:rsidRDefault="00CA484D" w:rsidP="00CA484D">
      <w:pPr>
        <w:rPr>
          <w:lang w:val="en-US"/>
        </w:rPr>
      </w:pPr>
      <w:r w:rsidRPr="00945DBC">
        <w:rPr>
          <w:lang w:val="en-US"/>
        </w:rPr>
        <w:t xml:space="preserve">Mayer, R. E. (2021). </w:t>
      </w:r>
      <w:r w:rsidRPr="00945DBC">
        <w:rPr>
          <w:i/>
          <w:iCs/>
          <w:lang w:val="en-US"/>
        </w:rPr>
        <w:t>Multimedia learning</w:t>
      </w:r>
      <w:r w:rsidRPr="00945DBC">
        <w:rPr>
          <w:lang w:val="en-US"/>
        </w:rPr>
        <w:t xml:space="preserve"> (3rd ed.). Cambridge University Press. </w:t>
      </w:r>
      <w:hyperlink r:id="rId103" w:history="1">
        <w:r w:rsidRPr="00945DBC">
          <w:rPr>
            <w:rStyle w:val="Hipervnculo"/>
            <w:lang w:val="en-US"/>
          </w:rPr>
          <w:t>https://doi.org/10.1017/9781316941355</w:t>
        </w:r>
      </w:hyperlink>
    </w:p>
    <w:p w14:paraId="299D972A" w14:textId="77777777" w:rsidR="00CA484D" w:rsidRPr="00945DBC" w:rsidRDefault="00CA484D" w:rsidP="00CA484D">
      <w:pPr>
        <w:rPr>
          <w:lang w:val="en-US"/>
        </w:rPr>
      </w:pPr>
      <w:r w:rsidRPr="00945DBC">
        <w:rPr>
          <w:lang w:val="en-US"/>
        </w:rPr>
        <w:t xml:space="preserve">Messick, S. (1989). Validity. In R. L. Linn (Ed.), </w:t>
      </w:r>
      <w:r w:rsidRPr="00945DBC">
        <w:rPr>
          <w:i/>
          <w:iCs/>
          <w:lang w:val="en-US"/>
        </w:rPr>
        <w:t>Educational measurement</w:t>
      </w:r>
      <w:r w:rsidRPr="00945DBC">
        <w:rPr>
          <w:lang w:val="en-US"/>
        </w:rPr>
        <w:t xml:space="preserve"> (3rd ed., pp. 13–103). Macmillan.</w:t>
      </w:r>
    </w:p>
    <w:p w14:paraId="1DBCECC5" w14:textId="77777777" w:rsidR="00CA484D" w:rsidRPr="00945DBC" w:rsidRDefault="00CA484D" w:rsidP="00CA484D">
      <w:pPr>
        <w:rPr>
          <w:lang w:val="en-US"/>
        </w:rPr>
      </w:pPr>
      <w:r w:rsidRPr="00945DBC">
        <w:rPr>
          <w:lang w:val="en-US"/>
        </w:rPr>
        <w:t xml:space="preserve">Miao, F., &amp; </w:t>
      </w:r>
      <w:proofErr w:type="spellStart"/>
      <w:r w:rsidRPr="00945DBC">
        <w:rPr>
          <w:lang w:val="en-US"/>
        </w:rPr>
        <w:t>Cukurova</w:t>
      </w:r>
      <w:proofErr w:type="spellEnd"/>
      <w:r w:rsidRPr="00945DBC">
        <w:rPr>
          <w:lang w:val="en-US"/>
        </w:rPr>
        <w:t xml:space="preserve">, M. (2024). </w:t>
      </w:r>
      <w:r w:rsidRPr="00945DBC">
        <w:rPr>
          <w:i/>
          <w:iCs/>
          <w:lang w:val="en-US"/>
        </w:rPr>
        <w:t>AI competency framework for teachers</w:t>
      </w:r>
      <w:r w:rsidRPr="00945DBC">
        <w:rPr>
          <w:lang w:val="en-US"/>
        </w:rPr>
        <w:t xml:space="preserve">. UNESCO. </w:t>
      </w:r>
      <w:hyperlink r:id="rId104" w:history="1">
        <w:r w:rsidRPr="00945DBC">
          <w:rPr>
            <w:rStyle w:val="Hipervnculo"/>
            <w:lang w:val="en-US"/>
          </w:rPr>
          <w:t>https://doi.org/10.54675/ZJTE2084</w:t>
        </w:r>
      </w:hyperlink>
    </w:p>
    <w:p w14:paraId="73D3F21E" w14:textId="77777777" w:rsidR="00CA484D" w:rsidRPr="00945DBC" w:rsidRDefault="00CA484D" w:rsidP="00CA484D">
      <w:pPr>
        <w:rPr>
          <w:lang w:val="en-US"/>
        </w:rPr>
      </w:pPr>
      <w:r w:rsidRPr="00945DBC">
        <w:rPr>
          <w:lang w:val="en-US"/>
        </w:rPr>
        <w:t xml:space="preserve">Miao, F., &amp; Holmes, W. (2023). </w:t>
      </w:r>
      <w:r w:rsidRPr="00945DBC">
        <w:rPr>
          <w:i/>
          <w:iCs/>
          <w:lang w:val="en-US"/>
        </w:rPr>
        <w:t>Guidance for generative AI in education and research</w:t>
      </w:r>
      <w:r w:rsidRPr="00945DBC">
        <w:rPr>
          <w:lang w:val="en-US"/>
        </w:rPr>
        <w:t xml:space="preserve">. UNESCO. </w:t>
      </w:r>
      <w:hyperlink r:id="rId105" w:history="1">
        <w:r w:rsidRPr="00945DBC">
          <w:rPr>
            <w:rStyle w:val="Hipervnculo"/>
            <w:lang w:val="en-US"/>
          </w:rPr>
          <w:t>https://unesdoc.unesco.org/ark:/48223/pf0000386693</w:t>
        </w:r>
      </w:hyperlink>
    </w:p>
    <w:p w14:paraId="24FC5DB7" w14:textId="77777777" w:rsidR="00CA484D" w:rsidRPr="00CA484D" w:rsidRDefault="00CA484D" w:rsidP="00CA484D">
      <w:pPr>
        <w:rPr>
          <w:lang w:val="es-MX"/>
        </w:rPr>
      </w:pPr>
      <w:r w:rsidRPr="00945DBC">
        <w:rPr>
          <w:lang w:val="en-US"/>
        </w:rPr>
        <w:t xml:space="preserve">Miao, F., </w:t>
      </w:r>
      <w:proofErr w:type="spellStart"/>
      <w:r w:rsidRPr="00945DBC">
        <w:rPr>
          <w:lang w:val="en-US"/>
        </w:rPr>
        <w:t>Shiohira</w:t>
      </w:r>
      <w:proofErr w:type="spellEnd"/>
      <w:r w:rsidRPr="00945DBC">
        <w:rPr>
          <w:lang w:val="en-US"/>
        </w:rPr>
        <w:t xml:space="preserve">, K., &amp; Lao, N. (2024). </w:t>
      </w:r>
      <w:r w:rsidRPr="00945DBC">
        <w:rPr>
          <w:i/>
          <w:iCs/>
          <w:lang w:val="en-US"/>
        </w:rPr>
        <w:t>AI competency framework for students</w:t>
      </w:r>
      <w:r w:rsidRPr="00945DBC">
        <w:rPr>
          <w:lang w:val="en-US"/>
        </w:rPr>
        <w:t xml:space="preserve">. </w:t>
      </w:r>
      <w:r w:rsidRPr="00CA484D">
        <w:rPr>
          <w:lang w:val="es-MX"/>
        </w:rPr>
        <w:t xml:space="preserve">UNESCO. </w:t>
      </w:r>
      <w:hyperlink r:id="rId106" w:history="1">
        <w:r w:rsidRPr="00CA484D">
          <w:rPr>
            <w:rStyle w:val="Hipervnculo"/>
            <w:lang w:val="es-MX"/>
          </w:rPr>
          <w:t>https://doi.org/10.54675/JKJB9835</w:t>
        </w:r>
      </w:hyperlink>
    </w:p>
    <w:p w14:paraId="00A3EFDB" w14:textId="77777777" w:rsidR="00CA484D" w:rsidRPr="00945DBC" w:rsidRDefault="00CA484D" w:rsidP="00CA484D">
      <w:pPr>
        <w:rPr>
          <w:lang w:val="en-US"/>
        </w:rPr>
      </w:pPr>
      <w:r w:rsidRPr="00CA484D">
        <w:rPr>
          <w:lang w:val="es-MX"/>
        </w:rPr>
        <w:t xml:space="preserve">Mishra, P., &amp; Koehler, M. J. (2006). </w:t>
      </w:r>
      <w:r w:rsidRPr="00945DBC">
        <w:rPr>
          <w:lang w:val="en-US"/>
        </w:rPr>
        <w:t xml:space="preserve">Technological pedagogical content knowledge: A framework for teacher knowledge. </w:t>
      </w:r>
      <w:r w:rsidRPr="00945DBC">
        <w:rPr>
          <w:i/>
          <w:iCs/>
          <w:lang w:val="en-US"/>
        </w:rPr>
        <w:t>Teachers College Record, 108</w:t>
      </w:r>
      <w:r w:rsidRPr="00945DBC">
        <w:rPr>
          <w:lang w:val="en-US"/>
        </w:rPr>
        <w:t xml:space="preserve">(6), 1017–1054. </w:t>
      </w:r>
      <w:hyperlink r:id="rId107" w:history="1">
        <w:r w:rsidRPr="00945DBC">
          <w:rPr>
            <w:rStyle w:val="Hipervnculo"/>
            <w:lang w:val="en-US"/>
          </w:rPr>
          <w:t>https://doi.org/10.1111/j.1467-9620.2006.00684.x</w:t>
        </w:r>
      </w:hyperlink>
    </w:p>
    <w:p w14:paraId="2C3544C8" w14:textId="77777777" w:rsidR="00CA484D" w:rsidRPr="00945DBC" w:rsidRDefault="00CA484D" w:rsidP="00CA484D">
      <w:pPr>
        <w:rPr>
          <w:lang w:val="en-US"/>
        </w:rPr>
      </w:pPr>
      <w:r w:rsidRPr="00945DBC">
        <w:rPr>
          <w:lang w:val="en-US"/>
        </w:rPr>
        <w:t xml:space="preserve">Mitchell, M., Wu, S., Zaldivar, A., Barnes, P., Vasserman, L., Hutchinson, B., Spitzer, E., Raji, I. D., &amp; Gebru, T. (2019). Model cards for model reporting. In </w:t>
      </w:r>
      <w:r w:rsidRPr="00945DBC">
        <w:rPr>
          <w:i/>
          <w:iCs/>
          <w:lang w:val="en-US"/>
        </w:rPr>
        <w:t>Proceedings of the Conference on Fairness, Accountability, and Transparency</w:t>
      </w:r>
      <w:r w:rsidRPr="00945DBC">
        <w:rPr>
          <w:lang w:val="en-US"/>
        </w:rPr>
        <w:t xml:space="preserve"> (pp. 220–229). Association for Computing Machinery. </w:t>
      </w:r>
      <w:hyperlink r:id="rId108" w:history="1">
        <w:r w:rsidRPr="00945DBC">
          <w:rPr>
            <w:rStyle w:val="Hipervnculo"/>
            <w:lang w:val="en-US"/>
          </w:rPr>
          <w:t>https://doi.org/10.1145/3287560.3287596</w:t>
        </w:r>
      </w:hyperlink>
    </w:p>
    <w:p w14:paraId="129C642F" w14:textId="77777777" w:rsidR="00CA484D" w:rsidRPr="00945DBC" w:rsidRDefault="00CA484D" w:rsidP="00CA484D">
      <w:pPr>
        <w:rPr>
          <w:lang w:val="en-US"/>
        </w:rPr>
      </w:pPr>
      <w:r w:rsidRPr="00945DBC">
        <w:rPr>
          <w:lang w:val="en-US"/>
        </w:rPr>
        <w:t xml:space="preserve">Mittelstadt, B. (2019). Principles alone cannot guarantee ethical AI. </w:t>
      </w:r>
      <w:r w:rsidRPr="00945DBC">
        <w:rPr>
          <w:i/>
          <w:iCs/>
          <w:lang w:val="en-US"/>
        </w:rPr>
        <w:t>Nature Machine Intelligence, 1</w:t>
      </w:r>
      <w:r w:rsidRPr="00945DBC">
        <w:rPr>
          <w:lang w:val="en-US"/>
        </w:rPr>
        <w:t xml:space="preserve">, 501–507. </w:t>
      </w:r>
      <w:hyperlink r:id="rId109" w:history="1">
        <w:r w:rsidRPr="00945DBC">
          <w:rPr>
            <w:rStyle w:val="Hipervnculo"/>
            <w:lang w:val="en-US"/>
          </w:rPr>
          <w:t>https://doi.org/10.1038/s42256-019-0114-4</w:t>
        </w:r>
      </w:hyperlink>
    </w:p>
    <w:p w14:paraId="14BC0E8B" w14:textId="77777777" w:rsidR="00CA484D" w:rsidRPr="00945DBC" w:rsidRDefault="00CA484D" w:rsidP="00CA484D">
      <w:pPr>
        <w:rPr>
          <w:lang w:val="en-US"/>
        </w:rPr>
      </w:pPr>
      <w:r w:rsidRPr="00945DBC">
        <w:rPr>
          <w:lang w:val="en-US"/>
        </w:rPr>
        <w:t xml:space="preserve">Molenaar, I. (2022). Towards hybrid human-AI learning technologies. </w:t>
      </w:r>
      <w:r w:rsidRPr="00945DBC">
        <w:rPr>
          <w:i/>
          <w:iCs/>
          <w:lang w:val="en-US"/>
        </w:rPr>
        <w:t>European Journal of Education, 57</w:t>
      </w:r>
      <w:r w:rsidRPr="00945DBC">
        <w:rPr>
          <w:lang w:val="en-US"/>
        </w:rPr>
        <w:t xml:space="preserve">(4), 632–645. </w:t>
      </w:r>
      <w:hyperlink r:id="rId110" w:history="1">
        <w:r w:rsidRPr="00945DBC">
          <w:rPr>
            <w:rStyle w:val="Hipervnculo"/>
            <w:lang w:val="en-US"/>
          </w:rPr>
          <w:t>https://doi.org/10.1111/ejed.12527</w:t>
        </w:r>
      </w:hyperlink>
    </w:p>
    <w:p w14:paraId="0D86B3D1" w14:textId="77777777" w:rsidR="00CA484D" w:rsidRPr="00CA484D" w:rsidRDefault="00CA484D" w:rsidP="00CA484D">
      <w:pPr>
        <w:rPr>
          <w:lang w:val="es-MX"/>
        </w:rPr>
      </w:pPr>
      <w:proofErr w:type="spellStart"/>
      <w:r w:rsidRPr="00945DBC">
        <w:rPr>
          <w:lang w:val="en-US"/>
        </w:rPr>
        <w:t>Naciones</w:t>
      </w:r>
      <w:proofErr w:type="spellEnd"/>
      <w:r w:rsidRPr="00945DBC">
        <w:rPr>
          <w:lang w:val="en-US"/>
        </w:rPr>
        <w:t xml:space="preserve"> Unidas. </w:t>
      </w:r>
      <w:r w:rsidRPr="00CA484D">
        <w:rPr>
          <w:lang w:val="es-MX"/>
        </w:rPr>
        <w:t xml:space="preserve">(2006). </w:t>
      </w:r>
      <w:r w:rsidRPr="00CA484D">
        <w:rPr>
          <w:i/>
          <w:iCs/>
          <w:lang w:val="es-MX"/>
        </w:rPr>
        <w:t>Convención sobre los Derechos de las Personas con Discapacidad</w:t>
      </w:r>
      <w:r w:rsidRPr="00CA484D">
        <w:rPr>
          <w:lang w:val="es-MX"/>
        </w:rPr>
        <w:t xml:space="preserve">. </w:t>
      </w:r>
      <w:hyperlink r:id="rId111" w:history="1">
        <w:r w:rsidRPr="00CA484D">
          <w:rPr>
            <w:rStyle w:val="Hipervnculo"/>
            <w:lang w:val="es-MX"/>
          </w:rPr>
          <w:t>https://www.un.org/disabilities/documents/convention/convoptprot-s.pdf</w:t>
        </w:r>
      </w:hyperlink>
    </w:p>
    <w:p w14:paraId="03AD156F" w14:textId="77777777" w:rsidR="00CA484D" w:rsidRPr="00945DBC" w:rsidRDefault="00CA484D" w:rsidP="00CA484D">
      <w:pPr>
        <w:rPr>
          <w:lang w:val="en-US"/>
        </w:rPr>
      </w:pPr>
      <w:r w:rsidRPr="00CA484D">
        <w:rPr>
          <w:lang w:val="es-MX"/>
        </w:rPr>
        <w:t xml:space="preserve">Naciones Unidas. (2024). </w:t>
      </w:r>
      <w:r w:rsidRPr="00CA484D">
        <w:rPr>
          <w:i/>
          <w:iCs/>
          <w:lang w:val="es-MX"/>
        </w:rPr>
        <w:t>Pacto Digital Global</w:t>
      </w:r>
      <w:r w:rsidRPr="00CA484D">
        <w:rPr>
          <w:lang w:val="es-MX"/>
        </w:rPr>
        <w:t xml:space="preserve">. </w:t>
      </w:r>
      <w:hyperlink r:id="rId112" w:history="1">
        <w:r w:rsidRPr="00945DBC">
          <w:rPr>
            <w:rStyle w:val="Hipervnculo"/>
            <w:lang w:val="en-US"/>
          </w:rPr>
          <w:t>https://www.un.org/global-digital-compact/es</w:t>
        </w:r>
      </w:hyperlink>
    </w:p>
    <w:p w14:paraId="221BFD82" w14:textId="77777777" w:rsidR="00CA484D" w:rsidRPr="00945DBC" w:rsidRDefault="00CA484D" w:rsidP="00CA484D">
      <w:pPr>
        <w:rPr>
          <w:lang w:val="en-US"/>
        </w:rPr>
      </w:pPr>
      <w:r w:rsidRPr="00945DBC">
        <w:rPr>
          <w:lang w:val="en-US"/>
        </w:rPr>
        <w:t xml:space="preserve">National Academies of Sciences, Engineering, and Medicine. (2017). </w:t>
      </w:r>
      <w:r w:rsidRPr="00945DBC">
        <w:rPr>
          <w:i/>
          <w:iCs/>
          <w:lang w:val="en-US"/>
        </w:rPr>
        <w:t>Fostering integrity in research</w:t>
      </w:r>
      <w:r w:rsidRPr="00945DBC">
        <w:rPr>
          <w:lang w:val="en-US"/>
        </w:rPr>
        <w:t xml:space="preserve">. The National Academies Press. </w:t>
      </w:r>
      <w:hyperlink r:id="rId113" w:history="1">
        <w:r w:rsidRPr="00945DBC">
          <w:rPr>
            <w:rStyle w:val="Hipervnculo"/>
            <w:lang w:val="en-US"/>
          </w:rPr>
          <w:t>https://doi.org/10.17226/21896</w:t>
        </w:r>
      </w:hyperlink>
    </w:p>
    <w:p w14:paraId="26D92C92" w14:textId="77777777" w:rsidR="00CA484D" w:rsidRPr="00945DBC" w:rsidRDefault="00CA484D" w:rsidP="00CA484D">
      <w:pPr>
        <w:rPr>
          <w:lang w:val="en-US"/>
        </w:rPr>
      </w:pPr>
      <w:r w:rsidRPr="00945DBC">
        <w:rPr>
          <w:lang w:val="en-US"/>
        </w:rPr>
        <w:t xml:space="preserve">National Institute of Standards and Technology. (2020). </w:t>
      </w:r>
      <w:r w:rsidRPr="00945DBC">
        <w:rPr>
          <w:i/>
          <w:iCs/>
          <w:lang w:val="en-US"/>
        </w:rPr>
        <w:t>NIST privacy framework: A tool for improving privacy through enterprise risk management, version 1.0</w:t>
      </w:r>
      <w:r w:rsidRPr="00945DBC">
        <w:rPr>
          <w:lang w:val="en-US"/>
        </w:rPr>
        <w:t xml:space="preserve">. </w:t>
      </w:r>
      <w:hyperlink r:id="rId114" w:history="1">
        <w:r w:rsidRPr="00945DBC">
          <w:rPr>
            <w:rStyle w:val="Hipervnculo"/>
            <w:lang w:val="en-US"/>
          </w:rPr>
          <w:t>https://doi.org/10.6028/NIST.CSWP.01162020</w:t>
        </w:r>
      </w:hyperlink>
    </w:p>
    <w:p w14:paraId="748FB20B" w14:textId="77777777" w:rsidR="00CA484D" w:rsidRPr="00945DBC" w:rsidRDefault="00CA484D" w:rsidP="00CA484D">
      <w:pPr>
        <w:rPr>
          <w:lang w:val="en-US"/>
        </w:rPr>
      </w:pPr>
      <w:r w:rsidRPr="00945DBC">
        <w:rPr>
          <w:lang w:val="en-US"/>
        </w:rPr>
        <w:lastRenderedPageBreak/>
        <w:t xml:space="preserve">Nicol, D., Thomson, A., &amp; Breslin, C. (2014). Rethinking feedback practices in higher education: A peer review perspective. </w:t>
      </w:r>
      <w:r w:rsidRPr="00945DBC">
        <w:rPr>
          <w:i/>
          <w:iCs/>
          <w:lang w:val="en-US"/>
        </w:rPr>
        <w:t>Assessment &amp; Evaluation in Higher Education, 39</w:t>
      </w:r>
      <w:r w:rsidRPr="00945DBC">
        <w:rPr>
          <w:lang w:val="en-US"/>
        </w:rPr>
        <w:t xml:space="preserve">(1), 102–122. </w:t>
      </w:r>
      <w:hyperlink r:id="rId115" w:history="1">
        <w:r w:rsidRPr="00945DBC">
          <w:rPr>
            <w:rStyle w:val="Hipervnculo"/>
            <w:lang w:val="en-US"/>
          </w:rPr>
          <w:t>https://doi.org/10.1080/02602938.2013.795518</w:t>
        </w:r>
      </w:hyperlink>
    </w:p>
    <w:p w14:paraId="47AE3FC0" w14:textId="77777777" w:rsidR="00CA484D" w:rsidRPr="00945DBC" w:rsidRDefault="00CA484D" w:rsidP="00CA484D">
      <w:pPr>
        <w:rPr>
          <w:lang w:val="en-US"/>
        </w:rPr>
      </w:pPr>
      <w:r w:rsidRPr="00945DBC">
        <w:rPr>
          <w:lang w:val="en-US"/>
        </w:rPr>
        <w:t xml:space="preserve">Noble, S. U. (2018). </w:t>
      </w:r>
      <w:r w:rsidRPr="00945DBC">
        <w:rPr>
          <w:i/>
          <w:iCs/>
          <w:lang w:val="en-US"/>
        </w:rPr>
        <w:t>Algorithms of oppression: How search engines reinforce racism</w:t>
      </w:r>
      <w:r w:rsidRPr="00945DBC">
        <w:rPr>
          <w:lang w:val="en-US"/>
        </w:rPr>
        <w:t xml:space="preserve">. New York University Press. </w:t>
      </w:r>
      <w:hyperlink r:id="rId116" w:history="1">
        <w:r w:rsidRPr="00945DBC">
          <w:rPr>
            <w:rStyle w:val="Hipervnculo"/>
            <w:lang w:val="en-US"/>
          </w:rPr>
          <w:t>https://doi.org/10.18574/nyu/9781479833641.001.0001</w:t>
        </w:r>
      </w:hyperlink>
    </w:p>
    <w:p w14:paraId="02D092A1" w14:textId="77777777" w:rsidR="00CA484D" w:rsidRPr="00945DBC" w:rsidRDefault="00CA484D" w:rsidP="00CA484D">
      <w:pPr>
        <w:rPr>
          <w:lang w:val="en-US"/>
        </w:rPr>
      </w:pPr>
      <w:r w:rsidRPr="00945DBC">
        <w:rPr>
          <w:lang w:val="en-US"/>
        </w:rPr>
        <w:t xml:space="preserve">Nosek, B. A., Alter, G., Banks, G. C., Borsboom, D., Bowman, S. D., Breckler, S. J., Buck, S., Chambers, C. D., Chin, G., Christensen, G., Contestabile, M., Dafoe, A., Eich, E., Freese, J., </w:t>
      </w:r>
      <w:proofErr w:type="spellStart"/>
      <w:r w:rsidRPr="00945DBC">
        <w:rPr>
          <w:lang w:val="en-US"/>
        </w:rPr>
        <w:t>Glennerster</w:t>
      </w:r>
      <w:proofErr w:type="spellEnd"/>
      <w:r w:rsidRPr="00945DBC">
        <w:rPr>
          <w:lang w:val="en-US"/>
        </w:rPr>
        <w:t xml:space="preserve">, R., Goroff, D., Green, D. P., Hesse, B., Humphreys, M., … Yarkoni, T. (2015). Promoting an open research culture. </w:t>
      </w:r>
      <w:r w:rsidRPr="00945DBC">
        <w:rPr>
          <w:i/>
          <w:iCs/>
          <w:lang w:val="en-US"/>
        </w:rPr>
        <w:t>Science, 348</w:t>
      </w:r>
      <w:r w:rsidRPr="00945DBC">
        <w:rPr>
          <w:lang w:val="en-US"/>
        </w:rPr>
        <w:t xml:space="preserve">(6242), 1422–1425. </w:t>
      </w:r>
      <w:hyperlink r:id="rId117" w:history="1">
        <w:r w:rsidRPr="00945DBC">
          <w:rPr>
            <w:rStyle w:val="Hipervnculo"/>
            <w:lang w:val="en-US"/>
          </w:rPr>
          <w:t>https://doi.org/10.1126/science.aab2374</w:t>
        </w:r>
      </w:hyperlink>
    </w:p>
    <w:p w14:paraId="1695D0DB" w14:textId="77777777" w:rsidR="00CA484D" w:rsidRPr="00945DBC" w:rsidRDefault="00CA484D" w:rsidP="00CA484D">
      <w:pPr>
        <w:rPr>
          <w:lang w:val="en-US"/>
        </w:rPr>
      </w:pPr>
      <w:r w:rsidRPr="00945DBC">
        <w:rPr>
          <w:lang w:val="en-US"/>
        </w:rPr>
        <w:t xml:space="preserve">O'Neil, C. (2016). </w:t>
      </w:r>
      <w:r w:rsidRPr="00945DBC">
        <w:rPr>
          <w:i/>
          <w:iCs/>
          <w:lang w:val="en-US"/>
        </w:rPr>
        <w:t>Weapons of math destruction: How big data increases inequality and threatens democracy</w:t>
      </w:r>
      <w:r w:rsidRPr="00945DBC">
        <w:rPr>
          <w:lang w:val="en-US"/>
        </w:rPr>
        <w:t>. Crown.</w:t>
      </w:r>
    </w:p>
    <w:p w14:paraId="0C7A150A" w14:textId="77777777" w:rsidR="00CA484D" w:rsidRPr="00945DBC" w:rsidRDefault="00CA484D" w:rsidP="00CA484D">
      <w:pPr>
        <w:rPr>
          <w:lang w:val="en-US"/>
        </w:rPr>
      </w:pPr>
      <w:r w:rsidRPr="00945DBC">
        <w:rPr>
          <w:lang w:val="en-US"/>
        </w:rPr>
        <w:t xml:space="preserve">OECD. (2019). </w:t>
      </w:r>
      <w:r w:rsidRPr="00945DBC">
        <w:rPr>
          <w:i/>
          <w:iCs/>
          <w:lang w:val="en-US"/>
        </w:rPr>
        <w:t>Recommendation of the Council on artificial intelligence</w:t>
      </w:r>
      <w:r w:rsidRPr="00945DBC">
        <w:rPr>
          <w:lang w:val="en-US"/>
        </w:rPr>
        <w:t xml:space="preserve">. OECD Legal Instruments. </w:t>
      </w:r>
      <w:hyperlink r:id="rId118" w:history="1">
        <w:r w:rsidRPr="00945DBC">
          <w:rPr>
            <w:rStyle w:val="Hipervnculo"/>
            <w:lang w:val="en-US"/>
          </w:rPr>
          <w:t>https://legalinstruments.oecd.org/en/instruments/OECD-LEGAL-0449</w:t>
        </w:r>
      </w:hyperlink>
    </w:p>
    <w:p w14:paraId="4285E2F2" w14:textId="77777777" w:rsidR="00CA484D" w:rsidRPr="00945DBC" w:rsidRDefault="00CA484D" w:rsidP="00CA484D">
      <w:pPr>
        <w:rPr>
          <w:lang w:val="en-US"/>
        </w:rPr>
      </w:pPr>
      <w:r w:rsidRPr="00945DBC">
        <w:rPr>
          <w:lang w:val="en-US"/>
        </w:rPr>
        <w:t xml:space="preserve">OECD. (2023). </w:t>
      </w:r>
      <w:r w:rsidRPr="00945DBC">
        <w:rPr>
          <w:i/>
          <w:iCs/>
          <w:lang w:val="en-US"/>
        </w:rPr>
        <w:t>OECD digital education outlook 2023: Towards an effective digital education ecosystem</w:t>
      </w:r>
      <w:r w:rsidRPr="00945DBC">
        <w:rPr>
          <w:lang w:val="en-US"/>
        </w:rPr>
        <w:t xml:space="preserve">. OECD Publishing. </w:t>
      </w:r>
      <w:hyperlink r:id="rId119" w:history="1">
        <w:r w:rsidRPr="00945DBC">
          <w:rPr>
            <w:rStyle w:val="Hipervnculo"/>
            <w:lang w:val="en-US"/>
          </w:rPr>
          <w:t>https://doi.org/10.1787/c74f03de-en</w:t>
        </w:r>
      </w:hyperlink>
    </w:p>
    <w:p w14:paraId="25602E3D" w14:textId="77777777" w:rsidR="00CA484D" w:rsidRPr="00945DBC" w:rsidRDefault="00CA484D" w:rsidP="00CA484D">
      <w:pPr>
        <w:rPr>
          <w:lang w:val="en-US"/>
        </w:rPr>
      </w:pPr>
      <w:r w:rsidRPr="00945DBC">
        <w:rPr>
          <w:lang w:val="en-US"/>
        </w:rPr>
        <w:t xml:space="preserve">OECD. (2026). </w:t>
      </w:r>
      <w:r w:rsidRPr="00945DBC">
        <w:rPr>
          <w:i/>
          <w:iCs/>
          <w:lang w:val="en-US"/>
        </w:rPr>
        <w:t>OECD digital education outlook 2026: Exploring effective uses of generative AI in education</w:t>
      </w:r>
      <w:r w:rsidRPr="00945DBC">
        <w:rPr>
          <w:lang w:val="en-US"/>
        </w:rPr>
        <w:t xml:space="preserve">. OECD Publishing. </w:t>
      </w:r>
      <w:hyperlink r:id="rId120" w:history="1">
        <w:r w:rsidRPr="00945DBC">
          <w:rPr>
            <w:rStyle w:val="Hipervnculo"/>
            <w:lang w:val="en-US"/>
          </w:rPr>
          <w:t>https://doi.org/10.1787/062a7394-en</w:t>
        </w:r>
      </w:hyperlink>
    </w:p>
    <w:p w14:paraId="75DAA935" w14:textId="77777777" w:rsidR="00CA484D" w:rsidRPr="00945DBC" w:rsidRDefault="00CA484D" w:rsidP="00CA484D">
      <w:pPr>
        <w:rPr>
          <w:lang w:val="pt-PT"/>
        </w:rPr>
      </w:pPr>
      <w:r w:rsidRPr="00945DBC">
        <w:rPr>
          <w:lang w:val="en-US"/>
        </w:rPr>
        <w:t xml:space="preserve">Page, M. J., McKenzie, J. E., Bossuyt, P. M., </w:t>
      </w:r>
      <w:proofErr w:type="spellStart"/>
      <w:r w:rsidRPr="00945DBC">
        <w:rPr>
          <w:lang w:val="en-US"/>
        </w:rPr>
        <w:t>Boutron</w:t>
      </w:r>
      <w:proofErr w:type="spellEnd"/>
      <w:r w:rsidRPr="00945DBC">
        <w:rPr>
          <w:lang w:val="en-US"/>
        </w:rPr>
        <w:t xml:space="preserve">, I., Hoffmann, T. C., Mulrow, C. D., </w:t>
      </w:r>
      <w:proofErr w:type="spellStart"/>
      <w:r w:rsidRPr="00945DBC">
        <w:rPr>
          <w:lang w:val="en-US"/>
        </w:rPr>
        <w:t>Shamseer</w:t>
      </w:r>
      <w:proofErr w:type="spellEnd"/>
      <w:r w:rsidRPr="00945DBC">
        <w:rPr>
          <w:lang w:val="en-US"/>
        </w:rPr>
        <w:t xml:space="preserve">, L., Tetzlaff, J. M., Akl, E. A., Brennan, S. E., Chou, R., Glanville, J., Grimshaw, J. M., Hróbjartsson, A., Lalu, M. M., Li, T., Loder, E. W., Mayo-Wilson, E., McDonald, S., … Moher, D. (2021). The PRISMA 2020 statement: An updated guideline for reporting systematic reviews. </w:t>
      </w:r>
      <w:r w:rsidRPr="00945DBC">
        <w:rPr>
          <w:i/>
          <w:iCs/>
          <w:lang w:val="pt-PT"/>
        </w:rPr>
        <w:t>BMJ, 372</w:t>
      </w:r>
      <w:r w:rsidRPr="00945DBC">
        <w:rPr>
          <w:lang w:val="pt-PT"/>
        </w:rPr>
        <w:t xml:space="preserve">, n71. </w:t>
      </w:r>
      <w:r w:rsidRPr="00CA484D">
        <w:rPr>
          <w:lang w:val="es-MX"/>
        </w:rPr>
        <w:fldChar w:fldCharType="begin"/>
      </w:r>
      <w:r w:rsidRPr="00945DBC">
        <w:rPr>
          <w:lang w:val="pt-PT"/>
        </w:rPr>
        <w:instrText>HYPERLINK "https://doi.org/10.1136/bmj.n71"</w:instrText>
      </w:r>
      <w:r w:rsidRPr="00CA484D">
        <w:rPr>
          <w:lang w:val="es-MX"/>
        </w:rPr>
      </w:r>
      <w:r w:rsidRPr="00CA484D">
        <w:rPr>
          <w:lang w:val="es-MX"/>
        </w:rPr>
        <w:fldChar w:fldCharType="separate"/>
      </w:r>
      <w:r w:rsidRPr="00945DBC">
        <w:rPr>
          <w:rStyle w:val="Hipervnculo"/>
          <w:lang w:val="pt-PT"/>
        </w:rPr>
        <w:t>https://doi.org/10.1136/bmj.n71</w:t>
      </w:r>
      <w:r w:rsidRPr="00CA484D">
        <w:rPr>
          <w:lang w:val="es-MX"/>
        </w:rPr>
        <w:fldChar w:fldCharType="end"/>
      </w:r>
    </w:p>
    <w:p w14:paraId="609A484B" w14:textId="77777777" w:rsidR="00CA484D" w:rsidRPr="00945DBC" w:rsidRDefault="00CA484D" w:rsidP="00CA484D">
      <w:pPr>
        <w:rPr>
          <w:lang w:val="en-US"/>
        </w:rPr>
      </w:pPr>
      <w:r w:rsidRPr="00945DBC">
        <w:rPr>
          <w:lang w:val="pt-PT"/>
        </w:rPr>
        <w:t xml:space="preserve">Panadero, E., &amp; Jonsson, A. (2013). </w:t>
      </w:r>
      <w:r w:rsidRPr="00945DBC">
        <w:rPr>
          <w:lang w:val="en-US"/>
        </w:rPr>
        <w:t xml:space="preserve">The use of scoring rubrics for formative assessment purposes revisited: A review. </w:t>
      </w:r>
      <w:r w:rsidRPr="00945DBC">
        <w:rPr>
          <w:i/>
          <w:iCs/>
          <w:lang w:val="en-US"/>
        </w:rPr>
        <w:t>Educational Research Review, 9</w:t>
      </w:r>
      <w:r w:rsidRPr="00945DBC">
        <w:rPr>
          <w:lang w:val="en-US"/>
        </w:rPr>
        <w:t xml:space="preserve">, 129–144. </w:t>
      </w:r>
      <w:hyperlink r:id="rId121" w:history="1">
        <w:r w:rsidRPr="00945DBC">
          <w:rPr>
            <w:rStyle w:val="Hipervnculo"/>
            <w:lang w:val="en-US"/>
          </w:rPr>
          <w:t>https://doi.org/10.1016/j.edurev.2013.01.002</w:t>
        </w:r>
      </w:hyperlink>
    </w:p>
    <w:p w14:paraId="19D450C5" w14:textId="77777777" w:rsidR="00CA484D" w:rsidRPr="00945DBC" w:rsidRDefault="00CA484D" w:rsidP="00CA484D">
      <w:pPr>
        <w:rPr>
          <w:lang w:val="en-US"/>
        </w:rPr>
      </w:pPr>
      <w:r w:rsidRPr="00945DBC">
        <w:rPr>
          <w:lang w:val="en-US"/>
        </w:rPr>
        <w:t xml:space="preserve">Panadero, E., Jonsson, A., &amp; </w:t>
      </w:r>
      <w:proofErr w:type="spellStart"/>
      <w:r w:rsidRPr="00945DBC">
        <w:rPr>
          <w:lang w:val="en-US"/>
        </w:rPr>
        <w:t>Strijbos</w:t>
      </w:r>
      <w:proofErr w:type="spellEnd"/>
      <w:r w:rsidRPr="00945DBC">
        <w:rPr>
          <w:lang w:val="en-US"/>
        </w:rPr>
        <w:t xml:space="preserve">, J. W. (2016). Scaffolding self-regulated learning through self-assessment and peer assessment: Guidelines for classroom implementation. In D. </w:t>
      </w:r>
      <w:proofErr w:type="spellStart"/>
      <w:r w:rsidRPr="00945DBC">
        <w:rPr>
          <w:lang w:val="en-US"/>
        </w:rPr>
        <w:t>Laveault</w:t>
      </w:r>
      <w:proofErr w:type="spellEnd"/>
      <w:r w:rsidRPr="00945DBC">
        <w:rPr>
          <w:lang w:val="en-US"/>
        </w:rPr>
        <w:t xml:space="preserve"> &amp; L. Allal (Eds.), </w:t>
      </w:r>
      <w:r w:rsidRPr="00945DBC">
        <w:rPr>
          <w:i/>
          <w:iCs/>
          <w:lang w:val="en-US"/>
        </w:rPr>
        <w:t>Assessment for learning: Meeting the challenge of implementation</w:t>
      </w:r>
      <w:r w:rsidRPr="00945DBC">
        <w:rPr>
          <w:lang w:val="en-US"/>
        </w:rPr>
        <w:t xml:space="preserve"> (pp. 311–326). Springer. </w:t>
      </w:r>
      <w:hyperlink r:id="rId122" w:history="1">
        <w:r w:rsidRPr="00945DBC">
          <w:rPr>
            <w:rStyle w:val="Hipervnculo"/>
            <w:lang w:val="en-US"/>
          </w:rPr>
          <w:t>https://doi.org/10.1007/978-3-319-39211-0_18</w:t>
        </w:r>
      </w:hyperlink>
    </w:p>
    <w:p w14:paraId="012B6226" w14:textId="77777777" w:rsidR="00CA484D" w:rsidRPr="00CA484D" w:rsidRDefault="00CA484D" w:rsidP="00CA484D">
      <w:pPr>
        <w:rPr>
          <w:lang w:val="es-MX"/>
        </w:rPr>
      </w:pPr>
      <w:r w:rsidRPr="00945DBC">
        <w:rPr>
          <w:lang w:val="en-US"/>
        </w:rPr>
        <w:t xml:space="preserve">Parasuraman, R., &amp; Riley, V. (1997). Humans and automation: Use, misuse, disuse, abuse. </w:t>
      </w:r>
      <w:r w:rsidRPr="00CA484D">
        <w:rPr>
          <w:i/>
          <w:iCs/>
          <w:lang w:val="es-MX"/>
        </w:rPr>
        <w:t>Human Factors, 39</w:t>
      </w:r>
      <w:r w:rsidRPr="00CA484D">
        <w:rPr>
          <w:lang w:val="es-MX"/>
        </w:rPr>
        <w:t xml:space="preserve">(2), 230–253. </w:t>
      </w:r>
      <w:hyperlink r:id="rId123" w:history="1">
        <w:r w:rsidRPr="00CA484D">
          <w:rPr>
            <w:rStyle w:val="Hipervnculo"/>
            <w:lang w:val="es-MX"/>
          </w:rPr>
          <w:t>https://doi.org/10.1518/001872097778543886</w:t>
        </w:r>
      </w:hyperlink>
    </w:p>
    <w:p w14:paraId="7860F157" w14:textId="77777777" w:rsidR="00CA484D" w:rsidRPr="00CA484D" w:rsidRDefault="00CA484D" w:rsidP="00CA484D">
      <w:pPr>
        <w:rPr>
          <w:lang w:val="es-MX"/>
        </w:rPr>
      </w:pPr>
      <w:r w:rsidRPr="00945DBC">
        <w:rPr>
          <w:lang w:val="en-US"/>
        </w:rPr>
        <w:lastRenderedPageBreak/>
        <w:t xml:space="preserve">Peng, R. D. (2011). Reproducible research in computational science. </w:t>
      </w:r>
      <w:proofErr w:type="spellStart"/>
      <w:r w:rsidRPr="00CA484D">
        <w:rPr>
          <w:i/>
          <w:iCs/>
          <w:lang w:val="es-MX"/>
        </w:rPr>
        <w:t>Science</w:t>
      </w:r>
      <w:proofErr w:type="spellEnd"/>
      <w:r w:rsidRPr="00CA484D">
        <w:rPr>
          <w:i/>
          <w:iCs/>
          <w:lang w:val="es-MX"/>
        </w:rPr>
        <w:t>, 334</w:t>
      </w:r>
      <w:r w:rsidRPr="00CA484D">
        <w:rPr>
          <w:lang w:val="es-MX"/>
        </w:rPr>
        <w:t xml:space="preserve">(6060), 1226–1227. </w:t>
      </w:r>
      <w:hyperlink r:id="rId124" w:history="1">
        <w:r w:rsidRPr="00CA484D">
          <w:rPr>
            <w:rStyle w:val="Hipervnculo"/>
            <w:lang w:val="es-MX"/>
          </w:rPr>
          <w:t>https://doi.org/10.1126/science.1213847</w:t>
        </w:r>
      </w:hyperlink>
    </w:p>
    <w:p w14:paraId="3A1796E2" w14:textId="77777777" w:rsidR="00CA484D" w:rsidRPr="00CA484D" w:rsidRDefault="00CA484D" w:rsidP="00CA484D">
      <w:pPr>
        <w:rPr>
          <w:lang w:val="es-MX"/>
        </w:rPr>
      </w:pPr>
      <w:r w:rsidRPr="00CA484D">
        <w:rPr>
          <w:lang w:val="es-MX"/>
        </w:rPr>
        <w:t xml:space="preserve">Presidencia de la República del Ecuador. (2023). </w:t>
      </w:r>
      <w:r w:rsidRPr="00CA484D">
        <w:rPr>
          <w:i/>
          <w:iCs/>
          <w:lang w:val="es-MX"/>
        </w:rPr>
        <w:t>Decreto Ejecutivo No. 904: Reglamento General de la Ley Orgánica de Protección de Datos Personales</w:t>
      </w:r>
      <w:r w:rsidRPr="00CA484D">
        <w:rPr>
          <w:lang w:val="es-MX"/>
        </w:rPr>
        <w:t xml:space="preserve">. </w:t>
      </w:r>
      <w:hyperlink r:id="rId125" w:history="1">
        <w:r w:rsidRPr="00CA484D">
          <w:rPr>
            <w:rStyle w:val="Hipervnculo"/>
            <w:lang w:val="es-MX"/>
          </w:rPr>
          <w:t>https://www.telecomunicaciones.gob.ec/wp-content/uploads/2023/11/Decreto-Ejecutivo-No.-904.pdf</w:t>
        </w:r>
      </w:hyperlink>
    </w:p>
    <w:p w14:paraId="36044048" w14:textId="77777777" w:rsidR="00CA484D" w:rsidRPr="00945DBC" w:rsidRDefault="00CA484D" w:rsidP="00CA484D">
      <w:pPr>
        <w:rPr>
          <w:lang w:val="en-US"/>
        </w:rPr>
      </w:pPr>
      <w:r w:rsidRPr="00945DBC">
        <w:rPr>
          <w:lang w:val="en-US"/>
        </w:rPr>
        <w:t xml:space="preserve">Raji, I. D., Smart, A., White, R. N., Mitchell, M., Gebru, T., Hutchinson, B., Smith-Loud, J., Theron, D., &amp; Barnes, P. (2020). Closing the AI accountability gap: Defining an end-to-end framework for internal algorithmic auditing. In </w:t>
      </w:r>
      <w:r w:rsidRPr="00945DBC">
        <w:rPr>
          <w:i/>
          <w:iCs/>
          <w:lang w:val="en-US"/>
        </w:rPr>
        <w:t>Proceedings of the 2020 Conference on Fairness, Accountability, and Transparency</w:t>
      </w:r>
      <w:r w:rsidRPr="00945DBC">
        <w:rPr>
          <w:lang w:val="en-US"/>
        </w:rPr>
        <w:t xml:space="preserve"> (pp. 33–44). Association for Computing Machinery. </w:t>
      </w:r>
      <w:hyperlink r:id="rId126" w:history="1">
        <w:r w:rsidRPr="00945DBC">
          <w:rPr>
            <w:rStyle w:val="Hipervnculo"/>
            <w:lang w:val="en-US"/>
          </w:rPr>
          <w:t>https://doi.org/10.1145/3351095.3372873</w:t>
        </w:r>
      </w:hyperlink>
    </w:p>
    <w:p w14:paraId="5C22DE60" w14:textId="77777777" w:rsidR="00CA484D" w:rsidRPr="00945DBC" w:rsidRDefault="00CA484D" w:rsidP="00CA484D">
      <w:pPr>
        <w:rPr>
          <w:lang w:val="en-US"/>
        </w:rPr>
      </w:pPr>
      <w:r w:rsidRPr="00945DBC">
        <w:rPr>
          <w:lang w:val="en-US"/>
        </w:rPr>
        <w:t xml:space="preserve">Rose, D. H., &amp; Meyer, A. (2002). </w:t>
      </w:r>
      <w:r w:rsidRPr="00945DBC">
        <w:rPr>
          <w:i/>
          <w:iCs/>
          <w:lang w:val="en-US"/>
        </w:rPr>
        <w:t>Teaching every student in the digital age: Universal design for learning</w:t>
      </w:r>
      <w:r w:rsidRPr="00945DBC">
        <w:rPr>
          <w:lang w:val="en-US"/>
        </w:rPr>
        <w:t>. Association for Supervision and Curriculum Development.</w:t>
      </w:r>
    </w:p>
    <w:p w14:paraId="40B9E902" w14:textId="77777777" w:rsidR="00CA484D" w:rsidRPr="00945DBC" w:rsidRDefault="00CA484D" w:rsidP="00CA484D">
      <w:pPr>
        <w:rPr>
          <w:lang w:val="en-US"/>
        </w:rPr>
      </w:pPr>
      <w:r w:rsidRPr="00945DBC">
        <w:rPr>
          <w:lang w:val="en-US"/>
        </w:rPr>
        <w:t xml:space="preserve">Sadler, D. R. (1989). Formative assessment and the design of instructional systems. </w:t>
      </w:r>
      <w:r w:rsidRPr="00945DBC">
        <w:rPr>
          <w:i/>
          <w:iCs/>
          <w:lang w:val="en-US"/>
        </w:rPr>
        <w:t>Instructional Science, 18</w:t>
      </w:r>
      <w:r w:rsidRPr="00945DBC">
        <w:rPr>
          <w:lang w:val="en-US"/>
        </w:rPr>
        <w:t xml:space="preserve">, 119–144. </w:t>
      </w:r>
      <w:hyperlink r:id="rId127" w:history="1">
        <w:r w:rsidRPr="00945DBC">
          <w:rPr>
            <w:rStyle w:val="Hipervnculo"/>
            <w:lang w:val="en-US"/>
          </w:rPr>
          <w:t>https://doi.org/10.1007/BF00117714</w:t>
        </w:r>
      </w:hyperlink>
    </w:p>
    <w:p w14:paraId="372CCD4A" w14:textId="77777777" w:rsidR="00CA484D" w:rsidRPr="00945DBC" w:rsidRDefault="00CA484D" w:rsidP="00CA484D">
      <w:pPr>
        <w:rPr>
          <w:lang w:val="en-US"/>
        </w:rPr>
      </w:pPr>
      <w:r w:rsidRPr="00945DBC">
        <w:rPr>
          <w:lang w:val="en-US"/>
        </w:rPr>
        <w:t xml:space="preserve">Saldaña, J. (2021). </w:t>
      </w:r>
      <w:r w:rsidRPr="00945DBC">
        <w:rPr>
          <w:i/>
          <w:iCs/>
          <w:lang w:val="en-US"/>
        </w:rPr>
        <w:t>The coding manual for qualitative researchers</w:t>
      </w:r>
      <w:r w:rsidRPr="00945DBC">
        <w:rPr>
          <w:lang w:val="en-US"/>
        </w:rPr>
        <w:t xml:space="preserve"> (4th ed.). Sage.</w:t>
      </w:r>
    </w:p>
    <w:p w14:paraId="4CCC685F" w14:textId="77777777" w:rsidR="00CA484D" w:rsidRPr="00945DBC" w:rsidRDefault="00CA484D" w:rsidP="00CA484D">
      <w:pPr>
        <w:rPr>
          <w:lang w:val="en-US"/>
        </w:rPr>
      </w:pPr>
      <w:r w:rsidRPr="00945DBC">
        <w:rPr>
          <w:lang w:val="en-US"/>
        </w:rPr>
        <w:t xml:space="preserve">Sandve, G. K., Nekrutenko, A., Taylor, J., &amp; Hovig, E. (2013). Ten simple rules for reproducible computational research. </w:t>
      </w:r>
      <w:r w:rsidRPr="00945DBC">
        <w:rPr>
          <w:i/>
          <w:iCs/>
          <w:lang w:val="en-US"/>
        </w:rPr>
        <w:t>PLOS Computational Biology, 9</w:t>
      </w:r>
      <w:r w:rsidRPr="00945DBC">
        <w:rPr>
          <w:lang w:val="en-US"/>
        </w:rPr>
        <w:t xml:space="preserve">(10), e1003285. </w:t>
      </w:r>
      <w:hyperlink r:id="rId128" w:history="1">
        <w:r w:rsidRPr="00945DBC">
          <w:rPr>
            <w:rStyle w:val="Hipervnculo"/>
            <w:lang w:val="en-US"/>
          </w:rPr>
          <w:t>https://doi.org/10.1371/journal.pcbi.1003285</w:t>
        </w:r>
      </w:hyperlink>
    </w:p>
    <w:p w14:paraId="58CCF235" w14:textId="77777777" w:rsidR="00CA484D" w:rsidRPr="00945DBC" w:rsidRDefault="00CA484D" w:rsidP="00CA484D">
      <w:pPr>
        <w:rPr>
          <w:lang w:val="en-US"/>
        </w:rPr>
      </w:pPr>
      <w:r w:rsidRPr="00945DBC">
        <w:rPr>
          <w:lang w:val="en-US"/>
        </w:rPr>
        <w:t xml:space="preserve">Seale, J. (2014). </w:t>
      </w:r>
      <w:r w:rsidRPr="00945DBC">
        <w:rPr>
          <w:i/>
          <w:iCs/>
          <w:lang w:val="en-US"/>
        </w:rPr>
        <w:t>E-learning and disability in higher education: Accessibility research and practice</w:t>
      </w:r>
      <w:r w:rsidRPr="00945DBC">
        <w:rPr>
          <w:lang w:val="en-US"/>
        </w:rPr>
        <w:t xml:space="preserve"> (2nd ed.). Routledge. </w:t>
      </w:r>
      <w:hyperlink r:id="rId129" w:history="1">
        <w:r w:rsidRPr="00945DBC">
          <w:rPr>
            <w:rStyle w:val="Hipervnculo"/>
            <w:lang w:val="en-US"/>
          </w:rPr>
          <w:t>https://doi.org/10.4324/9780203095942</w:t>
        </w:r>
      </w:hyperlink>
    </w:p>
    <w:p w14:paraId="4974B218" w14:textId="77777777" w:rsidR="00CA484D" w:rsidRPr="00945DBC" w:rsidRDefault="00CA484D" w:rsidP="00CA484D">
      <w:pPr>
        <w:rPr>
          <w:lang w:val="en-US"/>
        </w:rPr>
      </w:pPr>
      <w:r w:rsidRPr="00945DBC">
        <w:rPr>
          <w:lang w:val="en-US"/>
        </w:rPr>
        <w:t xml:space="preserve">Selbst, A. D., Boyd, D., Friedler, S. A., Venkatasubramanian, S., &amp; Vertesi, J. (2019). Fairness and abstraction in sociotechnical systems. In </w:t>
      </w:r>
      <w:r w:rsidRPr="00945DBC">
        <w:rPr>
          <w:i/>
          <w:iCs/>
          <w:lang w:val="en-US"/>
        </w:rPr>
        <w:t>Proceedings of the Conference on Fairness, Accountability, and Transparency</w:t>
      </w:r>
      <w:r w:rsidRPr="00945DBC">
        <w:rPr>
          <w:lang w:val="en-US"/>
        </w:rPr>
        <w:t xml:space="preserve"> (pp. 59–68). Association for Computing Machinery. </w:t>
      </w:r>
      <w:hyperlink r:id="rId130" w:history="1">
        <w:r w:rsidRPr="00945DBC">
          <w:rPr>
            <w:rStyle w:val="Hipervnculo"/>
            <w:lang w:val="en-US"/>
          </w:rPr>
          <w:t>https://doi.org/10.1145/3287560.3287598</w:t>
        </w:r>
      </w:hyperlink>
    </w:p>
    <w:p w14:paraId="1CE13091" w14:textId="77777777" w:rsidR="00CA484D" w:rsidRPr="00945DBC" w:rsidRDefault="00CA484D" w:rsidP="00CA484D">
      <w:pPr>
        <w:rPr>
          <w:lang w:val="en-US"/>
        </w:rPr>
      </w:pPr>
      <w:r w:rsidRPr="00945DBC">
        <w:rPr>
          <w:lang w:val="en-US"/>
        </w:rPr>
        <w:t xml:space="preserve">Selwyn, N. (2016). </w:t>
      </w:r>
      <w:r w:rsidRPr="00945DBC">
        <w:rPr>
          <w:i/>
          <w:iCs/>
          <w:lang w:val="en-US"/>
        </w:rPr>
        <w:t>Education and technology: Key issues and debates</w:t>
      </w:r>
      <w:r w:rsidRPr="00945DBC">
        <w:rPr>
          <w:lang w:val="en-US"/>
        </w:rPr>
        <w:t xml:space="preserve"> (2nd ed.). Bloomsbury Academic. </w:t>
      </w:r>
      <w:hyperlink r:id="rId131" w:history="1">
        <w:r w:rsidRPr="00945DBC">
          <w:rPr>
            <w:rStyle w:val="Hipervnculo"/>
            <w:lang w:val="en-US"/>
          </w:rPr>
          <w:t>https://doi.org/10.5040/9781474235952</w:t>
        </w:r>
      </w:hyperlink>
    </w:p>
    <w:p w14:paraId="0610E918" w14:textId="77777777" w:rsidR="00CA484D" w:rsidRPr="00945DBC" w:rsidRDefault="00CA484D" w:rsidP="00CA484D">
      <w:pPr>
        <w:rPr>
          <w:lang w:val="en-US"/>
        </w:rPr>
      </w:pPr>
      <w:r w:rsidRPr="00945DBC">
        <w:rPr>
          <w:lang w:val="en-US"/>
        </w:rPr>
        <w:t xml:space="preserve">Shute, V. J. (2008). Focus on formative feedback. </w:t>
      </w:r>
      <w:r w:rsidRPr="00945DBC">
        <w:rPr>
          <w:i/>
          <w:iCs/>
          <w:lang w:val="en-US"/>
        </w:rPr>
        <w:t>Review of Educational Research, 78</w:t>
      </w:r>
      <w:r w:rsidRPr="00945DBC">
        <w:rPr>
          <w:lang w:val="en-US"/>
        </w:rPr>
        <w:t xml:space="preserve">(1), 153–189. </w:t>
      </w:r>
      <w:hyperlink r:id="rId132" w:history="1">
        <w:r w:rsidRPr="00945DBC">
          <w:rPr>
            <w:rStyle w:val="Hipervnculo"/>
            <w:lang w:val="en-US"/>
          </w:rPr>
          <w:t>https://doi.org/10.3102/0034654307313795</w:t>
        </w:r>
      </w:hyperlink>
    </w:p>
    <w:p w14:paraId="51CAFCF5" w14:textId="77777777" w:rsidR="00CA484D" w:rsidRPr="00945DBC" w:rsidRDefault="00CA484D" w:rsidP="00CA484D">
      <w:pPr>
        <w:rPr>
          <w:lang w:val="en-US"/>
        </w:rPr>
      </w:pPr>
      <w:r w:rsidRPr="00945DBC">
        <w:rPr>
          <w:lang w:val="en-US"/>
        </w:rPr>
        <w:t xml:space="preserve">Slade, S., &amp; Prinsloo, P. (2013). Learning analytics: Ethical issues and dilemmas. </w:t>
      </w:r>
      <w:r w:rsidRPr="00945DBC">
        <w:rPr>
          <w:i/>
          <w:iCs/>
          <w:lang w:val="en-US"/>
        </w:rPr>
        <w:t>American Behavioral Scientist, 57</w:t>
      </w:r>
      <w:r w:rsidRPr="00945DBC">
        <w:rPr>
          <w:lang w:val="en-US"/>
        </w:rPr>
        <w:t xml:space="preserve">(10), 1510–1529. </w:t>
      </w:r>
      <w:hyperlink r:id="rId133" w:history="1">
        <w:r w:rsidRPr="00945DBC">
          <w:rPr>
            <w:rStyle w:val="Hipervnculo"/>
            <w:lang w:val="en-US"/>
          </w:rPr>
          <w:t>https://doi.org/10.1177/0002764213479366</w:t>
        </w:r>
      </w:hyperlink>
    </w:p>
    <w:p w14:paraId="73572887" w14:textId="77777777" w:rsidR="00CA484D" w:rsidRPr="00945DBC" w:rsidRDefault="00CA484D" w:rsidP="00CA484D">
      <w:pPr>
        <w:rPr>
          <w:lang w:val="en-US"/>
        </w:rPr>
      </w:pPr>
      <w:r w:rsidRPr="00945DBC">
        <w:rPr>
          <w:lang w:val="en-US"/>
        </w:rPr>
        <w:t xml:space="preserve">Snyder, H. (2019). Literature review as a research methodology: An overview and guidelines. </w:t>
      </w:r>
      <w:r w:rsidRPr="00945DBC">
        <w:rPr>
          <w:i/>
          <w:iCs/>
          <w:lang w:val="en-US"/>
        </w:rPr>
        <w:t>Journal of Business Research, 104</w:t>
      </w:r>
      <w:r w:rsidRPr="00945DBC">
        <w:rPr>
          <w:lang w:val="en-US"/>
        </w:rPr>
        <w:t xml:space="preserve">, 333–339. </w:t>
      </w:r>
      <w:hyperlink r:id="rId134" w:history="1">
        <w:r w:rsidRPr="00945DBC">
          <w:rPr>
            <w:rStyle w:val="Hipervnculo"/>
            <w:lang w:val="en-US"/>
          </w:rPr>
          <w:t>https://doi.org/10.1016/j.jbusres.2019.07.039</w:t>
        </w:r>
      </w:hyperlink>
    </w:p>
    <w:p w14:paraId="71BAC7F7" w14:textId="77777777" w:rsidR="00CA484D" w:rsidRPr="00CA484D" w:rsidRDefault="00CA484D" w:rsidP="00CA484D">
      <w:pPr>
        <w:rPr>
          <w:lang w:val="es-MX"/>
        </w:rPr>
      </w:pPr>
      <w:r w:rsidRPr="00945DBC">
        <w:rPr>
          <w:lang w:val="en-US"/>
        </w:rPr>
        <w:lastRenderedPageBreak/>
        <w:t xml:space="preserve">Solove, D. J. (2006). A taxonomy of privacy. </w:t>
      </w:r>
      <w:r w:rsidRPr="00945DBC">
        <w:rPr>
          <w:i/>
          <w:iCs/>
          <w:lang w:val="en-US"/>
        </w:rPr>
        <w:t>University of Pennsylvania Law Review, 154</w:t>
      </w:r>
      <w:r w:rsidRPr="00945DBC">
        <w:rPr>
          <w:lang w:val="en-US"/>
        </w:rPr>
        <w:t xml:space="preserve">(3), 477–564. </w:t>
      </w:r>
      <w:hyperlink r:id="rId135" w:history="1">
        <w:r w:rsidRPr="00CA484D">
          <w:rPr>
            <w:rStyle w:val="Hipervnculo"/>
            <w:lang w:val="es-MX"/>
          </w:rPr>
          <w:t>https://doi.org/10.2307/40041279</w:t>
        </w:r>
      </w:hyperlink>
    </w:p>
    <w:p w14:paraId="25963190" w14:textId="77777777" w:rsidR="00CA484D" w:rsidRPr="00CA484D" w:rsidRDefault="00CA484D" w:rsidP="00CA484D">
      <w:pPr>
        <w:rPr>
          <w:lang w:val="es-MX"/>
        </w:rPr>
      </w:pPr>
      <w:r w:rsidRPr="00CA484D">
        <w:rPr>
          <w:lang w:val="es-MX"/>
        </w:rPr>
        <w:t xml:space="preserve">Superintendencia de Protección de Datos Personales. (2025). </w:t>
      </w:r>
      <w:r w:rsidRPr="00CA484D">
        <w:rPr>
          <w:i/>
          <w:iCs/>
          <w:lang w:val="es-MX"/>
        </w:rPr>
        <w:t>Guía de gestión de riesgos y evaluación de impacto del tratamiento de datos personales</w:t>
      </w:r>
      <w:r w:rsidRPr="00CA484D">
        <w:rPr>
          <w:lang w:val="es-MX"/>
        </w:rPr>
        <w:t xml:space="preserve">. </w:t>
      </w:r>
      <w:hyperlink r:id="rId136" w:history="1">
        <w:r w:rsidRPr="00CA484D">
          <w:rPr>
            <w:rStyle w:val="Hipervnculo"/>
            <w:lang w:val="es-MX"/>
          </w:rPr>
          <w:t>https://spdp.gob.ec/resolucion-n-spdp-spd-2025-0003-r-guia-de-gestion-de-riesgos-y-evaluacion-de-impacto-del-tratamiento-de-datos-personales-con-su-anexo/</w:t>
        </w:r>
      </w:hyperlink>
    </w:p>
    <w:p w14:paraId="0DF82B45" w14:textId="77777777" w:rsidR="00CA484D" w:rsidRPr="00945DBC" w:rsidRDefault="00CA484D" w:rsidP="00CA484D">
      <w:pPr>
        <w:rPr>
          <w:lang w:val="en-US"/>
        </w:rPr>
      </w:pPr>
      <w:r w:rsidRPr="00945DBC">
        <w:rPr>
          <w:lang w:val="en-US"/>
        </w:rPr>
        <w:t xml:space="preserve">Tabassi, E. (2023). </w:t>
      </w:r>
      <w:r w:rsidRPr="00945DBC">
        <w:rPr>
          <w:i/>
          <w:iCs/>
          <w:lang w:val="en-US"/>
        </w:rPr>
        <w:t>Artificial intelligence risk management framework</w:t>
      </w:r>
      <w:r w:rsidRPr="00945DBC">
        <w:rPr>
          <w:lang w:val="en-US"/>
        </w:rPr>
        <w:t xml:space="preserve"> (AI RMF 1.0) (NIST AI 100-1). National Institute of Standards and Technology. </w:t>
      </w:r>
      <w:hyperlink r:id="rId137" w:history="1">
        <w:r w:rsidRPr="00945DBC">
          <w:rPr>
            <w:rStyle w:val="Hipervnculo"/>
            <w:lang w:val="en-US"/>
          </w:rPr>
          <w:t>https://doi.org/10.6028/NIST.AI.100-1</w:t>
        </w:r>
      </w:hyperlink>
    </w:p>
    <w:p w14:paraId="04A0B443" w14:textId="77777777" w:rsidR="00CA484D" w:rsidRPr="00945DBC" w:rsidRDefault="00CA484D" w:rsidP="00CA484D">
      <w:pPr>
        <w:rPr>
          <w:lang w:val="en-US"/>
        </w:rPr>
      </w:pPr>
      <w:r w:rsidRPr="00945DBC">
        <w:rPr>
          <w:lang w:val="en-US"/>
        </w:rPr>
        <w:t xml:space="preserve">UNESCO. (2020). </w:t>
      </w:r>
      <w:r w:rsidRPr="00945DBC">
        <w:rPr>
          <w:i/>
          <w:iCs/>
          <w:lang w:val="en-US"/>
        </w:rPr>
        <w:t>Global education monitoring report 2020: Inclusion and education: All means all</w:t>
      </w:r>
      <w:r w:rsidRPr="00945DBC">
        <w:rPr>
          <w:lang w:val="en-US"/>
        </w:rPr>
        <w:t xml:space="preserve">. </w:t>
      </w:r>
      <w:hyperlink r:id="rId138" w:history="1">
        <w:r w:rsidRPr="00945DBC">
          <w:rPr>
            <w:rStyle w:val="Hipervnculo"/>
            <w:lang w:val="en-US"/>
          </w:rPr>
          <w:t>https://doi.org/10.54676/JJNK6989</w:t>
        </w:r>
      </w:hyperlink>
    </w:p>
    <w:p w14:paraId="243018AD" w14:textId="77777777" w:rsidR="00CA484D" w:rsidRPr="00945DBC" w:rsidRDefault="00CA484D" w:rsidP="00CA484D">
      <w:pPr>
        <w:rPr>
          <w:lang w:val="en-US"/>
        </w:rPr>
      </w:pPr>
      <w:r w:rsidRPr="00945DBC">
        <w:rPr>
          <w:lang w:val="en-US"/>
        </w:rPr>
        <w:t xml:space="preserve">UNESCO. (2021). </w:t>
      </w:r>
      <w:r w:rsidRPr="00945DBC">
        <w:rPr>
          <w:i/>
          <w:iCs/>
          <w:lang w:val="en-US"/>
        </w:rPr>
        <w:t>Recommendation on the ethics of artificial intelligence</w:t>
      </w:r>
      <w:r w:rsidRPr="00945DBC">
        <w:rPr>
          <w:lang w:val="en-US"/>
        </w:rPr>
        <w:t xml:space="preserve">. </w:t>
      </w:r>
      <w:hyperlink r:id="rId139" w:history="1">
        <w:r w:rsidRPr="00945DBC">
          <w:rPr>
            <w:rStyle w:val="Hipervnculo"/>
            <w:lang w:val="en-US"/>
          </w:rPr>
          <w:t>https://unesdoc.unesco.org/ark:/48223/pf0000381137</w:t>
        </w:r>
      </w:hyperlink>
    </w:p>
    <w:p w14:paraId="642F7060" w14:textId="77777777" w:rsidR="00CA484D" w:rsidRPr="00945DBC" w:rsidRDefault="00CA484D" w:rsidP="00CA484D">
      <w:pPr>
        <w:rPr>
          <w:lang w:val="en-US"/>
        </w:rPr>
      </w:pPr>
      <w:r w:rsidRPr="00945DBC">
        <w:rPr>
          <w:lang w:val="en-US"/>
        </w:rPr>
        <w:t xml:space="preserve">UNESCO. (2023). </w:t>
      </w:r>
      <w:r w:rsidRPr="00945DBC">
        <w:rPr>
          <w:i/>
          <w:iCs/>
          <w:lang w:val="en-US"/>
        </w:rPr>
        <w:t>Global education monitoring report 2023: Technology in education: A tool on whose terms?</w:t>
      </w:r>
      <w:r w:rsidRPr="00945DBC">
        <w:rPr>
          <w:lang w:val="en-US"/>
        </w:rPr>
        <w:t xml:space="preserve"> </w:t>
      </w:r>
      <w:hyperlink r:id="rId140" w:history="1">
        <w:r w:rsidRPr="00945DBC">
          <w:rPr>
            <w:rStyle w:val="Hipervnculo"/>
            <w:lang w:val="en-US"/>
          </w:rPr>
          <w:t>https://doi.org/10.54676/UZQV8501</w:t>
        </w:r>
      </w:hyperlink>
    </w:p>
    <w:p w14:paraId="0AF6F050" w14:textId="77777777" w:rsidR="00CA484D" w:rsidRPr="00945DBC" w:rsidRDefault="00CA484D" w:rsidP="00CA484D">
      <w:pPr>
        <w:rPr>
          <w:lang w:val="en-US"/>
        </w:rPr>
      </w:pPr>
      <w:r w:rsidRPr="00945DBC">
        <w:rPr>
          <w:lang w:val="en-US"/>
        </w:rPr>
        <w:t xml:space="preserve">UNESCO International Institute for Higher Education in Latin America and the Caribbean. (2023). </w:t>
      </w:r>
      <w:r w:rsidRPr="00945DBC">
        <w:rPr>
          <w:i/>
          <w:iCs/>
          <w:lang w:val="en-US"/>
        </w:rPr>
        <w:t>ChatGPT and artificial intelligence in higher education: Quick start guide</w:t>
      </w:r>
      <w:r w:rsidRPr="00945DBC">
        <w:rPr>
          <w:lang w:val="en-US"/>
        </w:rPr>
        <w:t xml:space="preserve">. UNESCO IESALC. </w:t>
      </w:r>
      <w:hyperlink r:id="rId141" w:history="1">
        <w:r w:rsidRPr="00945DBC">
          <w:rPr>
            <w:rStyle w:val="Hipervnculo"/>
            <w:lang w:val="en-US"/>
          </w:rPr>
          <w:t>https://unesdoc.unesco.org/ark:/48223/pf0000385146</w:t>
        </w:r>
      </w:hyperlink>
    </w:p>
    <w:p w14:paraId="3E6DF3F2" w14:textId="77777777" w:rsidR="00CA484D" w:rsidRPr="00945DBC" w:rsidRDefault="00CA484D" w:rsidP="00CA484D">
      <w:pPr>
        <w:rPr>
          <w:lang w:val="en-US"/>
        </w:rPr>
      </w:pPr>
      <w:r w:rsidRPr="00945DBC">
        <w:rPr>
          <w:lang w:val="en-US"/>
        </w:rPr>
        <w:t xml:space="preserve">van de Schoot, R., de Bruin, J., Schram, R., Zahedi, P., de Boer, J., </w:t>
      </w:r>
      <w:proofErr w:type="spellStart"/>
      <w:r w:rsidRPr="00945DBC">
        <w:rPr>
          <w:lang w:val="en-US"/>
        </w:rPr>
        <w:t>Weijdema</w:t>
      </w:r>
      <w:proofErr w:type="spellEnd"/>
      <w:r w:rsidRPr="00945DBC">
        <w:rPr>
          <w:lang w:val="en-US"/>
        </w:rPr>
        <w:t xml:space="preserve">, F., Kramer, B., </w:t>
      </w:r>
      <w:proofErr w:type="spellStart"/>
      <w:r w:rsidRPr="00945DBC">
        <w:rPr>
          <w:lang w:val="en-US"/>
        </w:rPr>
        <w:t>Huijts</w:t>
      </w:r>
      <w:proofErr w:type="spellEnd"/>
      <w:r w:rsidRPr="00945DBC">
        <w:rPr>
          <w:lang w:val="en-US"/>
        </w:rPr>
        <w:t xml:space="preserve">, M., Hoogerwerf, M., Ferdinands, G., Harkema, A., Willemsen, J., Ma, Y., Fang, Q., </w:t>
      </w:r>
      <w:proofErr w:type="spellStart"/>
      <w:r w:rsidRPr="00945DBC">
        <w:rPr>
          <w:lang w:val="en-US"/>
        </w:rPr>
        <w:t>Hindriks</w:t>
      </w:r>
      <w:proofErr w:type="spellEnd"/>
      <w:r w:rsidRPr="00945DBC">
        <w:rPr>
          <w:lang w:val="en-US"/>
        </w:rPr>
        <w:t xml:space="preserve">, S., </w:t>
      </w:r>
      <w:proofErr w:type="spellStart"/>
      <w:r w:rsidRPr="00945DBC">
        <w:rPr>
          <w:lang w:val="en-US"/>
        </w:rPr>
        <w:t>Tummers</w:t>
      </w:r>
      <w:proofErr w:type="spellEnd"/>
      <w:r w:rsidRPr="00945DBC">
        <w:rPr>
          <w:lang w:val="en-US"/>
        </w:rPr>
        <w:t xml:space="preserve">, L., &amp; Oberski, D. L. (2021). An </w:t>
      </w:r>
      <w:proofErr w:type="gramStart"/>
      <w:r w:rsidRPr="00945DBC">
        <w:rPr>
          <w:lang w:val="en-US"/>
        </w:rPr>
        <w:t>open source</w:t>
      </w:r>
      <w:proofErr w:type="gramEnd"/>
      <w:r w:rsidRPr="00945DBC">
        <w:rPr>
          <w:lang w:val="en-US"/>
        </w:rPr>
        <w:t xml:space="preserve"> machine learning framework for efficient and transparent systematic reviews. </w:t>
      </w:r>
      <w:r w:rsidRPr="00945DBC">
        <w:rPr>
          <w:i/>
          <w:iCs/>
          <w:lang w:val="en-US"/>
        </w:rPr>
        <w:t>Nature Machine Intelligence, 3</w:t>
      </w:r>
      <w:r w:rsidRPr="00945DBC">
        <w:rPr>
          <w:lang w:val="en-US"/>
        </w:rPr>
        <w:t xml:space="preserve">, 125–133. </w:t>
      </w:r>
      <w:hyperlink r:id="rId142" w:history="1">
        <w:r w:rsidRPr="00945DBC">
          <w:rPr>
            <w:rStyle w:val="Hipervnculo"/>
            <w:lang w:val="en-US"/>
          </w:rPr>
          <w:t>https://doi.org/10.1038/s42256-020-00287-7</w:t>
        </w:r>
      </w:hyperlink>
    </w:p>
    <w:p w14:paraId="1B345E50" w14:textId="77777777" w:rsidR="00CA484D" w:rsidRPr="00945DBC" w:rsidRDefault="00CA484D" w:rsidP="00CA484D">
      <w:pPr>
        <w:rPr>
          <w:lang w:val="en-US"/>
        </w:rPr>
      </w:pPr>
      <w:r w:rsidRPr="00945DBC">
        <w:rPr>
          <w:lang w:val="en-US"/>
        </w:rPr>
        <w:t xml:space="preserve">van Dijk, J. (2020). </w:t>
      </w:r>
      <w:r w:rsidRPr="00945DBC">
        <w:rPr>
          <w:i/>
          <w:iCs/>
          <w:lang w:val="en-US"/>
        </w:rPr>
        <w:t>The digital divide</w:t>
      </w:r>
      <w:r w:rsidRPr="00945DBC">
        <w:rPr>
          <w:lang w:val="en-US"/>
        </w:rPr>
        <w:t>. Polity Press.</w:t>
      </w:r>
    </w:p>
    <w:p w14:paraId="4312DCE8" w14:textId="77777777" w:rsidR="00CA484D" w:rsidRPr="00945DBC" w:rsidRDefault="00CA484D" w:rsidP="00CA484D">
      <w:pPr>
        <w:rPr>
          <w:lang w:val="en-US"/>
        </w:rPr>
      </w:pPr>
      <w:r w:rsidRPr="00CA484D">
        <w:rPr>
          <w:lang w:val="es-MX"/>
        </w:rPr>
        <w:t xml:space="preserve">van </w:t>
      </w:r>
      <w:proofErr w:type="spellStart"/>
      <w:r w:rsidRPr="00CA484D">
        <w:rPr>
          <w:lang w:val="es-MX"/>
        </w:rPr>
        <w:t>Dis</w:t>
      </w:r>
      <w:proofErr w:type="spellEnd"/>
      <w:r w:rsidRPr="00CA484D">
        <w:rPr>
          <w:lang w:val="es-MX"/>
        </w:rPr>
        <w:t xml:space="preserve">, E. A. M., Bollen, J., Zuidema, W., van Rooij, R., &amp; Bockting, C. L. (2023). </w:t>
      </w:r>
      <w:r w:rsidRPr="00945DBC">
        <w:rPr>
          <w:lang w:val="en-US"/>
        </w:rPr>
        <w:t xml:space="preserve">ChatGPT: Five priorities for research. </w:t>
      </w:r>
      <w:r w:rsidRPr="00945DBC">
        <w:rPr>
          <w:i/>
          <w:iCs/>
          <w:lang w:val="en-US"/>
        </w:rPr>
        <w:t>Nature, 614</w:t>
      </w:r>
      <w:r w:rsidRPr="00945DBC">
        <w:rPr>
          <w:lang w:val="en-US"/>
        </w:rPr>
        <w:t xml:space="preserve">, 224–226. </w:t>
      </w:r>
      <w:hyperlink r:id="rId143" w:history="1">
        <w:r w:rsidRPr="00945DBC">
          <w:rPr>
            <w:rStyle w:val="Hipervnculo"/>
            <w:lang w:val="en-US"/>
          </w:rPr>
          <w:t>https://doi.org/10.1038/d41586-023-00288-7</w:t>
        </w:r>
      </w:hyperlink>
    </w:p>
    <w:p w14:paraId="45B192D0" w14:textId="77777777" w:rsidR="00CA484D" w:rsidRPr="00945DBC" w:rsidRDefault="00CA484D" w:rsidP="00CA484D">
      <w:pPr>
        <w:rPr>
          <w:lang w:val="en-US"/>
        </w:rPr>
      </w:pPr>
      <w:proofErr w:type="spellStart"/>
      <w:r w:rsidRPr="00945DBC">
        <w:rPr>
          <w:lang w:val="en-US"/>
        </w:rPr>
        <w:t>VanLehn</w:t>
      </w:r>
      <w:proofErr w:type="spellEnd"/>
      <w:r w:rsidRPr="00945DBC">
        <w:rPr>
          <w:lang w:val="en-US"/>
        </w:rPr>
        <w:t xml:space="preserve">, K. (2011). The relative effectiveness of human tutoring, intelligent tutoring systems, and other tutoring systems. </w:t>
      </w:r>
      <w:r w:rsidRPr="00945DBC">
        <w:rPr>
          <w:i/>
          <w:iCs/>
          <w:lang w:val="en-US"/>
        </w:rPr>
        <w:t>Educational Psychologist, 46</w:t>
      </w:r>
      <w:r w:rsidRPr="00945DBC">
        <w:rPr>
          <w:lang w:val="en-US"/>
        </w:rPr>
        <w:t xml:space="preserve">(4), 197–221. </w:t>
      </w:r>
      <w:hyperlink r:id="rId144" w:history="1">
        <w:r w:rsidRPr="00945DBC">
          <w:rPr>
            <w:rStyle w:val="Hipervnculo"/>
            <w:lang w:val="en-US"/>
          </w:rPr>
          <w:t>https://doi.org/10.1080/00461520.2011.611369</w:t>
        </w:r>
      </w:hyperlink>
    </w:p>
    <w:p w14:paraId="485A09EE" w14:textId="77777777" w:rsidR="00CA484D" w:rsidRPr="00945DBC" w:rsidRDefault="00CA484D" w:rsidP="00CA484D">
      <w:pPr>
        <w:rPr>
          <w:lang w:val="en-US"/>
        </w:rPr>
      </w:pPr>
      <w:r w:rsidRPr="00945DBC">
        <w:rPr>
          <w:lang w:val="en-US"/>
        </w:rPr>
        <w:t xml:space="preserve">Warschauer, M. (2004). </w:t>
      </w:r>
      <w:r w:rsidRPr="00945DBC">
        <w:rPr>
          <w:i/>
          <w:iCs/>
          <w:lang w:val="en-US"/>
        </w:rPr>
        <w:t>Technology and social inclusion: Rethinking the digital divide</w:t>
      </w:r>
      <w:r w:rsidRPr="00945DBC">
        <w:rPr>
          <w:lang w:val="en-US"/>
        </w:rPr>
        <w:t xml:space="preserve">. MIT Press. </w:t>
      </w:r>
      <w:hyperlink r:id="rId145" w:history="1">
        <w:r w:rsidRPr="00945DBC">
          <w:rPr>
            <w:rStyle w:val="Hipervnculo"/>
            <w:lang w:val="en-US"/>
          </w:rPr>
          <w:t>https://doi.org/10.7551/mitpress/6699.001.0001</w:t>
        </w:r>
      </w:hyperlink>
    </w:p>
    <w:p w14:paraId="413BDD88" w14:textId="77777777" w:rsidR="00CA484D" w:rsidRPr="00945DBC" w:rsidRDefault="00CA484D" w:rsidP="00CA484D">
      <w:pPr>
        <w:rPr>
          <w:lang w:val="en-US"/>
        </w:rPr>
      </w:pPr>
      <w:r w:rsidRPr="00945DBC">
        <w:rPr>
          <w:lang w:val="en-US"/>
        </w:rPr>
        <w:t xml:space="preserve">Wasserstein, R. L., &amp; Lazar, N. A. (2016). The ASA statement on p-values: Context, process, and purpose. </w:t>
      </w:r>
      <w:r w:rsidRPr="00945DBC">
        <w:rPr>
          <w:i/>
          <w:iCs/>
          <w:lang w:val="en-US"/>
        </w:rPr>
        <w:t>The American Statistician, 70</w:t>
      </w:r>
      <w:r w:rsidRPr="00945DBC">
        <w:rPr>
          <w:lang w:val="en-US"/>
        </w:rPr>
        <w:t xml:space="preserve">(2), 129–133. </w:t>
      </w:r>
      <w:hyperlink r:id="rId146" w:history="1">
        <w:r w:rsidRPr="00945DBC">
          <w:rPr>
            <w:rStyle w:val="Hipervnculo"/>
            <w:lang w:val="en-US"/>
          </w:rPr>
          <w:t>https://doi.org/10.1080/00031305.2016.1154108</w:t>
        </w:r>
      </w:hyperlink>
    </w:p>
    <w:p w14:paraId="30AE7DBA" w14:textId="77777777" w:rsidR="00CA484D" w:rsidRPr="00945DBC" w:rsidRDefault="00CA484D" w:rsidP="00CA484D">
      <w:pPr>
        <w:rPr>
          <w:lang w:val="en-US"/>
        </w:rPr>
      </w:pPr>
      <w:r w:rsidRPr="00945DBC">
        <w:rPr>
          <w:lang w:val="en-US"/>
        </w:rPr>
        <w:lastRenderedPageBreak/>
        <w:t xml:space="preserve">Wasserstein, R. L., Schirm, A. L., &amp; Lazar, N. A. (2019). Moving to a world beyond p less than 0.05. </w:t>
      </w:r>
      <w:r w:rsidRPr="00945DBC">
        <w:rPr>
          <w:i/>
          <w:iCs/>
          <w:lang w:val="en-US"/>
        </w:rPr>
        <w:t>The American Statistician, 73</w:t>
      </w:r>
      <w:r w:rsidRPr="00945DBC">
        <w:rPr>
          <w:lang w:val="en-US"/>
        </w:rPr>
        <w:t xml:space="preserve">(Suppl. 1), 1–19. </w:t>
      </w:r>
      <w:hyperlink r:id="rId147" w:history="1">
        <w:r w:rsidRPr="00945DBC">
          <w:rPr>
            <w:rStyle w:val="Hipervnculo"/>
            <w:lang w:val="en-US"/>
          </w:rPr>
          <w:t>https://doi.org/10.1080/00031305.2019.1583913</w:t>
        </w:r>
      </w:hyperlink>
    </w:p>
    <w:p w14:paraId="311A21D0" w14:textId="77777777" w:rsidR="00CA484D" w:rsidRPr="00945DBC" w:rsidRDefault="00CA484D" w:rsidP="00CA484D">
      <w:pPr>
        <w:rPr>
          <w:lang w:val="en-US"/>
        </w:rPr>
      </w:pPr>
      <w:r w:rsidRPr="00945DBC">
        <w:rPr>
          <w:lang w:val="en-US"/>
        </w:rPr>
        <w:t xml:space="preserve">Weber-Wulff, D., </w:t>
      </w:r>
      <w:proofErr w:type="spellStart"/>
      <w:r w:rsidRPr="00945DBC">
        <w:rPr>
          <w:lang w:val="en-US"/>
        </w:rPr>
        <w:t>Anohina-Naumeca</w:t>
      </w:r>
      <w:proofErr w:type="spellEnd"/>
      <w:r w:rsidRPr="00945DBC">
        <w:rPr>
          <w:lang w:val="en-US"/>
        </w:rPr>
        <w:t xml:space="preserve">, A., </w:t>
      </w:r>
      <w:proofErr w:type="spellStart"/>
      <w:r w:rsidRPr="00945DBC">
        <w:rPr>
          <w:lang w:val="en-US"/>
        </w:rPr>
        <w:t>Bjelobaba</w:t>
      </w:r>
      <w:proofErr w:type="spellEnd"/>
      <w:r w:rsidRPr="00945DBC">
        <w:rPr>
          <w:lang w:val="en-US"/>
        </w:rPr>
        <w:t xml:space="preserve">, S., </w:t>
      </w:r>
      <w:proofErr w:type="spellStart"/>
      <w:r w:rsidRPr="00945DBC">
        <w:rPr>
          <w:lang w:val="en-US"/>
        </w:rPr>
        <w:t>Foltýnek</w:t>
      </w:r>
      <w:proofErr w:type="spellEnd"/>
      <w:r w:rsidRPr="00945DBC">
        <w:rPr>
          <w:lang w:val="en-US"/>
        </w:rPr>
        <w:t xml:space="preserve">, T., Guerrero-Dib, J., Popoola, O., </w:t>
      </w:r>
      <w:proofErr w:type="spellStart"/>
      <w:r w:rsidRPr="00945DBC">
        <w:rPr>
          <w:lang w:val="en-US"/>
        </w:rPr>
        <w:t>Šigut</w:t>
      </w:r>
      <w:proofErr w:type="spellEnd"/>
      <w:r w:rsidRPr="00945DBC">
        <w:rPr>
          <w:lang w:val="en-US"/>
        </w:rPr>
        <w:t xml:space="preserve">, P., &amp; Waddington, L. (2023). Testing of detection tools for AI-generated text. </w:t>
      </w:r>
      <w:r w:rsidRPr="00945DBC">
        <w:rPr>
          <w:i/>
          <w:iCs/>
          <w:lang w:val="en-US"/>
        </w:rPr>
        <w:t>International Journal for Educational Integrity, 19</w:t>
      </w:r>
      <w:r w:rsidRPr="00945DBC">
        <w:rPr>
          <w:lang w:val="en-US"/>
        </w:rPr>
        <w:t xml:space="preserve">, Article 26. </w:t>
      </w:r>
      <w:hyperlink r:id="rId148" w:history="1">
        <w:r w:rsidRPr="00945DBC">
          <w:rPr>
            <w:rStyle w:val="Hipervnculo"/>
            <w:lang w:val="en-US"/>
          </w:rPr>
          <w:t>https://doi.org/10.1007/s40979-023-00146-z</w:t>
        </w:r>
      </w:hyperlink>
    </w:p>
    <w:p w14:paraId="528FE8DA" w14:textId="77777777" w:rsidR="00CA484D" w:rsidRPr="00945DBC" w:rsidRDefault="00CA484D" w:rsidP="00CA484D">
      <w:pPr>
        <w:rPr>
          <w:lang w:val="en-US"/>
        </w:rPr>
      </w:pPr>
      <w:r w:rsidRPr="00945DBC">
        <w:rPr>
          <w:lang w:val="en-US"/>
        </w:rPr>
        <w:t xml:space="preserve">Wiliam, D. (2011). </w:t>
      </w:r>
      <w:r w:rsidRPr="00945DBC">
        <w:rPr>
          <w:i/>
          <w:iCs/>
          <w:lang w:val="en-US"/>
        </w:rPr>
        <w:t>Embedded formative assessment</w:t>
      </w:r>
      <w:r w:rsidRPr="00945DBC">
        <w:rPr>
          <w:lang w:val="en-US"/>
        </w:rPr>
        <w:t>. Solution Tree Press.</w:t>
      </w:r>
    </w:p>
    <w:p w14:paraId="75E4C730" w14:textId="77777777" w:rsidR="00CA484D" w:rsidRPr="00945DBC" w:rsidRDefault="00CA484D" w:rsidP="00CA484D">
      <w:pPr>
        <w:rPr>
          <w:lang w:val="en-US"/>
        </w:rPr>
      </w:pPr>
      <w:r w:rsidRPr="00945DBC">
        <w:rPr>
          <w:lang w:val="en-US"/>
        </w:rPr>
        <w:t xml:space="preserve">Wilkinson, M. D., Dumontier, M., </w:t>
      </w:r>
      <w:proofErr w:type="spellStart"/>
      <w:r w:rsidRPr="00945DBC">
        <w:rPr>
          <w:lang w:val="en-US"/>
        </w:rPr>
        <w:t>Aalbersberg</w:t>
      </w:r>
      <w:proofErr w:type="spellEnd"/>
      <w:r w:rsidRPr="00945DBC">
        <w:rPr>
          <w:lang w:val="en-US"/>
        </w:rPr>
        <w:t xml:space="preserve">, I. J., Appleton, G., Axton, M., Baak, A., Blomberg, N., </w:t>
      </w:r>
      <w:proofErr w:type="spellStart"/>
      <w:r w:rsidRPr="00945DBC">
        <w:rPr>
          <w:lang w:val="en-US"/>
        </w:rPr>
        <w:t>Boiten</w:t>
      </w:r>
      <w:proofErr w:type="spellEnd"/>
      <w:r w:rsidRPr="00945DBC">
        <w:rPr>
          <w:lang w:val="en-US"/>
        </w:rPr>
        <w:t xml:space="preserve">, J. W., da Silva Santos, L. B., Bourne, P. E., Bouwman, J., Brookes, A. J., Clark, T., </w:t>
      </w:r>
      <w:proofErr w:type="spellStart"/>
      <w:r w:rsidRPr="00945DBC">
        <w:rPr>
          <w:lang w:val="en-US"/>
        </w:rPr>
        <w:t>Crosas</w:t>
      </w:r>
      <w:proofErr w:type="spellEnd"/>
      <w:r w:rsidRPr="00945DBC">
        <w:rPr>
          <w:lang w:val="en-US"/>
        </w:rPr>
        <w:t xml:space="preserve">, M., Dillo, I., Dumon, O., Edmunds, S., Evelo, C. T., </w:t>
      </w:r>
      <w:proofErr w:type="spellStart"/>
      <w:r w:rsidRPr="00945DBC">
        <w:rPr>
          <w:lang w:val="en-US"/>
        </w:rPr>
        <w:t>Finkers</w:t>
      </w:r>
      <w:proofErr w:type="spellEnd"/>
      <w:r w:rsidRPr="00945DBC">
        <w:rPr>
          <w:lang w:val="en-US"/>
        </w:rPr>
        <w:t xml:space="preserve">, R., … Mons, B. (2016). The FAIR Guiding Principles for scientific data management and stewardship. </w:t>
      </w:r>
      <w:r w:rsidRPr="00945DBC">
        <w:rPr>
          <w:i/>
          <w:iCs/>
          <w:lang w:val="en-US"/>
        </w:rPr>
        <w:t>Scientific Data, 3</w:t>
      </w:r>
      <w:r w:rsidRPr="00945DBC">
        <w:rPr>
          <w:lang w:val="en-US"/>
        </w:rPr>
        <w:t xml:space="preserve">, Article 160018. </w:t>
      </w:r>
      <w:hyperlink r:id="rId149" w:history="1">
        <w:r w:rsidRPr="00945DBC">
          <w:rPr>
            <w:rStyle w:val="Hipervnculo"/>
            <w:lang w:val="en-US"/>
          </w:rPr>
          <w:t>https://doi.org/10.1038/sdata.2016.18</w:t>
        </w:r>
      </w:hyperlink>
    </w:p>
    <w:p w14:paraId="64BA6E07" w14:textId="77777777" w:rsidR="00CA484D" w:rsidRPr="00945DBC" w:rsidRDefault="00CA484D" w:rsidP="00CA484D">
      <w:pPr>
        <w:rPr>
          <w:lang w:val="en-US"/>
        </w:rPr>
      </w:pPr>
      <w:r w:rsidRPr="00945DBC">
        <w:rPr>
          <w:lang w:val="en-US"/>
        </w:rPr>
        <w:t xml:space="preserve">Williamson, D. M., Xi, X., &amp; Breyer, F. J. (2012). A framework for evaluation and use of automated scoring. </w:t>
      </w:r>
      <w:r w:rsidRPr="00945DBC">
        <w:rPr>
          <w:i/>
          <w:iCs/>
          <w:lang w:val="en-US"/>
        </w:rPr>
        <w:t>Educational Measurement: Issues and Practice, 31</w:t>
      </w:r>
      <w:r w:rsidRPr="00945DBC">
        <w:rPr>
          <w:lang w:val="en-US"/>
        </w:rPr>
        <w:t xml:space="preserve">(1), 2–13. </w:t>
      </w:r>
      <w:hyperlink r:id="rId150" w:history="1">
        <w:r w:rsidRPr="00945DBC">
          <w:rPr>
            <w:rStyle w:val="Hipervnculo"/>
            <w:lang w:val="en-US"/>
          </w:rPr>
          <w:t>https://doi.org/10.1111/j.1745-3992.2011.00223.x</w:t>
        </w:r>
      </w:hyperlink>
    </w:p>
    <w:p w14:paraId="5F1BEA78" w14:textId="77777777" w:rsidR="00CA484D" w:rsidRPr="00945DBC" w:rsidRDefault="00CA484D" w:rsidP="00CA484D">
      <w:pPr>
        <w:rPr>
          <w:lang w:val="en-US"/>
        </w:rPr>
      </w:pPr>
      <w:r w:rsidRPr="00945DBC">
        <w:rPr>
          <w:lang w:val="en-US"/>
        </w:rPr>
        <w:t xml:space="preserve">World Health Organization. (2022). </w:t>
      </w:r>
      <w:r w:rsidRPr="00945DBC">
        <w:rPr>
          <w:i/>
          <w:iCs/>
          <w:lang w:val="en-US"/>
        </w:rPr>
        <w:t xml:space="preserve">Global report on health equity for </w:t>
      </w:r>
      <w:proofErr w:type="gramStart"/>
      <w:r w:rsidRPr="00945DBC">
        <w:rPr>
          <w:i/>
          <w:iCs/>
          <w:lang w:val="en-US"/>
        </w:rPr>
        <w:t>persons</w:t>
      </w:r>
      <w:proofErr w:type="gramEnd"/>
      <w:r w:rsidRPr="00945DBC">
        <w:rPr>
          <w:i/>
          <w:iCs/>
          <w:lang w:val="en-US"/>
        </w:rPr>
        <w:t xml:space="preserve"> with disabilities</w:t>
      </w:r>
      <w:r w:rsidRPr="00945DBC">
        <w:rPr>
          <w:lang w:val="en-US"/>
        </w:rPr>
        <w:t xml:space="preserve">. </w:t>
      </w:r>
      <w:hyperlink r:id="rId151" w:history="1">
        <w:r w:rsidRPr="00945DBC">
          <w:rPr>
            <w:rStyle w:val="Hipervnculo"/>
            <w:lang w:val="en-US"/>
          </w:rPr>
          <w:t>https://www.who.int/publications/i/item/9789240063600</w:t>
        </w:r>
      </w:hyperlink>
    </w:p>
    <w:p w14:paraId="4CFED4F6" w14:textId="77777777" w:rsidR="00CA484D" w:rsidRPr="00945DBC" w:rsidRDefault="00CA484D" w:rsidP="00CA484D">
      <w:pPr>
        <w:rPr>
          <w:lang w:val="en-US"/>
        </w:rPr>
      </w:pPr>
      <w:r w:rsidRPr="00945DBC">
        <w:rPr>
          <w:lang w:val="en-US"/>
        </w:rPr>
        <w:t xml:space="preserve">World Wide Web Consortium. (2023). </w:t>
      </w:r>
      <w:r w:rsidRPr="00945DBC">
        <w:rPr>
          <w:i/>
          <w:iCs/>
          <w:lang w:val="en-US"/>
        </w:rPr>
        <w:t>Web Content Accessibility Guidelines (WCAG) 2.2</w:t>
      </w:r>
      <w:r w:rsidRPr="00945DBC">
        <w:rPr>
          <w:lang w:val="en-US"/>
        </w:rPr>
        <w:t xml:space="preserve">. </w:t>
      </w:r>
      <w:hyperlink r:id="rId152" w:history="1">
        <w:r w:rsidRPr="00945DBC">
          <w:rPr>
            <w:rStyle w:val="Hipervnculo"/>
            <w:lang w:val="en-US"/>
          </w:rPr>
          <w:t>https://www.w3.org/TR/WCAG22/</w:t>
        </w:r>
      </w:hyperlink>
    </w:p>
    <w:p w14:paraId="673CB343" w14:textId="77777777" w:rsidR="00CA484D" w:rsidRPr="00945DBC" w:rsidRDefault="00CA484D" w:rsidP="00CA484D">
      <w:pPr>
        <w:rPr>
          <w:lang w:val="en-US"/>
        </w:rPr>
      </w:pPr>
      <w:r w:rsidRPr="00945DBC">
        <w:rPr>
          <w:lang w:val="en-US"/>
        </w:rPr>
        <w:t xml:space="preserve">Zawacki-Richter, O., Marín, V. I., Bond, M., &amp; Gouverneur, F. (2019). Systematic review of research on artificial intelligence applications in higher education: Where are the educators? </w:t>
      </w:r>
      <w:r w:rsidRPr="00945DBC">
        <w:rPr>
          <w:i/>
          <w:iCs/>
          <w:lang w:val="en-US"/>
        </w:rPr>
        <w:t>International Journal of Educational Technology in Higher Education, 16</w:t>
      </w:r>
      <w:r w:rsidRPr="00945DBC">
        <w:rPr>
          <w:lang w:val="en-US"/>
        </w:rPr>
        <w:t xml:space="preserve">, Article 39. </w:t>
      </w:r>
      <w:hyperlink r:id="rId153" w:history="1">
        <w:r w:rsidRPr="00945DBC">
          <w:rPr>
            <w:rStyle w:val="Hipervnculo"/>
            <w:lang w:val="en-US"/>
          </w:rPr>
          <w:t>https://doi.org/10.1186/s41239-019-0171-0</w:t>
        </w:r>
      </w:hyperlink>
    </w:p>
    <w:p w14:paraId="1EB5FFA3" w14:textId="77777777" w:rsidR="00CA484D" w:rsidRPr="00945DBC" w:rsidRDefault="00CA484D" w:rsidP="00CA484D">
      <w:pPr>
        <w:rPr>
          <w:lang w:val="en-US"/>
        </w:rPr>
      </w:pPr>
      <w:r w:rsidRPr="00945DBC">
        <w:rPr>
          <w:lang w:val="en-US"/>
        </w:rPr>
        <w:t xml:space="preserve">Zhai, C., Wibowo, S., &amp; Li, L. D. (2024). The effects of over-reliance on AI dialogue systems on students' cognitive abilities: A systematic review. </w:t>
      </w:r>
      <w:r w:rsidRPr="00945DBC">
        <w:rPr>
          <w:i/>
          <w:iCs/>
          <w:lang w:val="en-US"/>
        </w:rPr>
        <w:t>Smart Learning Environments, 11</w:t>
      </w:r>
      <w:r w:rsidRPr="00945DBC">
        <w:rPr>
          <w:lang w:val="en-US"/>
        </w:rPr>
        <w:t xml:space="preserve">, Article 28. </w:t>
      </w:r>
      <w:hyperlink r:id="rId154" w:history="1">
        <w:r w:rsidRPr="00945DBC">
          <w:rPr>
            <w:rStyle w:val="Hipervnculo"/>
            <w:lang w:val="en-US"/>
          </w:rPr>
          <w:t>https://doi.org/10.1186/s40561-024-00316-7</w:t>
        </w:r>
      </w:hyperlink>
    </w:p>
    <w:p w14:paraId="471CD214" w14:textId="77777777" w:rsidR="00CA484D" w:rsidRPr="00CA484D" w:rsidRDefault="00CA484D" w:rsidP="00CA484D">
      <w:pPr>
        <w:rPr>
          <w:lang w:val="es-MX"/>
        </w:rPr>
      </w:pPr>
      <w:r w:rsidRPr="00945DBC">
        <w:rPr>
          <w:lang w:val="en-US"/>
        </w:rPr>
        <w:t xml:space="preserve">Zimmerman, B. J. (2002). Becoming a self-regulated learner: An overview. </w:t>
      </w:r>
      <w:r w:rsidRPr="00CA484D">
        <w:rPr>
          <w:i/>
          <w:iCs/>
          <w:lang w:val="es-MX"/>
        </w:rPr>
        <w:t xml:space="preserve">Theory </w:t>
      </w:r>
      <w:proofErr w:type="spellStart"/>
      <w:r w:rsidRPr="00CA484D">
        <w:rPr>
          <w:i/>
          <w:iCs/>
          <w:lang w:val="es-MX"/>
        </w:rPr>
        <w:t>Into</w:t>
      </w:r>
      <w:proofErr w:type="spellEnd"/>
      <w:r w:rsidRPr="00CA484D">
        <w:rPr>
          <w:i/>
          <w:iCs/>
          <w:lang w:val="es-MX"/>
        </w:rPr>
        <w:t xml:space="preserve"> </w:t>
      </w:r>
      <w:proofErr w:type="spellStart"/>
      <w:r w:rsidRPr="00CA484D">
        <w:rPr>
          <w:i/>
          <w:iCs/>
          <w:lang w:val="es-MX"/>
        </w:rPr>
        <w:t>Practice</w:t>
      </w:r>
      <w:proofErr w:type="spellEnd"/>
      <w:r w:rsidRPr="00CA484D">
        <w:rPr>
          <w:i/>
          <w:iCs/>
          <w:lang w:val="es-MX"/>
        </w:rPr>
        <w:t>, 41</w:t>
      </w:r>
      <w:r w:rsidRPr="00CA484D">
        <w:rPr>
          <w:lang w:val="es-MX"/>
        </w:rPr>
        <w:t xml:space="preserve">(2), 64–70. </w:t>
      </w:r>
      <w:hyperlink r:id="rId155" w:history="1">
        <w:r w:rsidRPr="00CA484D">
          <w:rPr>
            <w:rStyle w:val="Hipervnculo"/>
            <w:lang w:val="es-MX"/>
          </w:rPr>
          <w:t>https://doi.org/10.1207/s15430421tip4102_2</w:t>
        </w:r>
      </w:hyperlink>
    </w:p>
    <w:p w14:paraId="489C76BD" w14:textId="77777777" w:rsidR="005575F8" w:rsidRPr="005575F8" w:rsidRDefault="005575F8" w:rsidP="005575F8">
      <w:pPr>
        <w:rPr>
          <w:lang w:val="es-MX"/>
        </w:rPr>
      </w:pPr>
    </w:p>
    <w:p w14:paraId="7B14D9C6" w14:textId="77777777" w:rsidR="00E85658" w:rsidRPr="00E85658" w:rsidRDefault="00E85658" w:rsidP="00E85658">
      <w:pPr>
        <w:rPr>
          <w:lang w:val="es-MX"/>
        </w:rPr>
      </w:pPr>
    </w:p>
    <w:p w14:paraId="4B418A71" w14:textId="77777777" w:rsidR="00143D00" w:rsidRPr="00143D00" w:rsidRDefault="00143D00" w:rsidP="00143D00">
      <w:pPr>
        <w:rPr>
          <w:lang w:val="es-MX"/>
        </w:rPr>
      </w:pPr>
    </w:p>
    <w:p w14:paraId="12E32B5C" w14:textId="77777777" w:rsidR="00DC6956" w:rsidRPr="00143D00" w:rsidRDefault="00DC6956" w:rsidP="00143D00">
      <w:pPr>
        <w:rPr>
          <w:lang w:val="es-MX"/>
        </w:rPr>
      </w:pPr>
    </w:p>
    <w:p w14:paraId="359C8FBD" w14:textId="30E79C24" w:rsidR="00FB1BF6" w:rsidRDefault="00127BC3" w:rsidP="00FB1BF6">
      <w:pPr>
        <w:rPr>
          <w:lang w:val="es-MX"/>
        </w:rPr>
      </w:pPr>
      <w:r>
        <w:rPr>
          <w:noProof/>
          <w:lang w:val="es-MX"/>
        </w:rPr>
        <w:lastRenderedPageBreak/>
        <w:drawing>
          <wp:anchor distT="0" distB="0" distL="114300" distR="114300" simplePos="0" relativeHeight="251667456" behindDoc="0" locked="0" layoutInCell="1" allowOverlap="1" wp14:anchorId="3E177B17" wp14:editId="405DEB84">
            <wp:simplePos x="0" y="0"/>
            <wp:positionH relativeFrom="column">
              <wp:posOffset>2025015</wp:posOffset>
            </wp:positionH>
            <wp:positionV relativeFrom="paragraph">
              <wp:posOffset>0</wp:posOffset>
            </wp:positionV>
            <wp:extent cx="3694715" cy="3600000"/>
            <wp:effectExtent l="0" t="0" r="1270" b="635"/>
            <wp:wrapSquare wrapText="bothSides"/>
            <wp:docPr id="124253828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t="22226"/>
                    <a:stretch>
                      <a:fillRect/>
                    </a:stretch>
                  </pic:blipFill>
                  <pic:spPr bwMode="auto">
                    <a:xfrm>
                      <a:off x="0" y="0"/>
                      <a:ext cx="3694715" cy="36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44C6" w:rsidRPr="005444C6">
        <w:rPr>
          <w:lang w:val="es-MX"/>
        </w:rPr>
        <w:t>Abg. Pedro Manuel Falconi Ayón, Mgtr.</w:t>
      </w:r>
    </w:p>
    <w:p w14:paraId="248BAD56" w14:textId="12F089EA" w:rsidR="006C4805" w:rsidRDefault="006C4805" w:rsidP="00FB1BF6">
      <w:pPr>
        <w:rPr>
          <w:lang w:val="es-MX"/>
        </w:rPr>
      </w:pPr>
      <w:r w:rsidRPr="006C4805">
        <w:rPr>
          <w:lang w:val="es-MX"/>
        </w:rPr>
        <w:t xml:space="preserve">Universidad Estatal del Sur de </w:t>
      </w:r>
      <w:proofErr w:type="spellStart"/>
      <w:r w:rsidRPr="006C4805">
        <w:rPr>
          <w:lang w:val="es-MX"/>
        </w:rPr>
        <w:t>Manabi</w:t>
      </w:r>
      <w:proofErr w:type="spellEnd"/>
    </w:p>
    <w:p w14:paraId="550F40EF" w14:textId="480C6D62" w:rsidR="006C4805" w:rsidRDefault="006C4805" w:rsidP="00FB1BF6">
      <w:pPr>
        <w:rPr>
          <w:lang w:val="es-MX"/>
        </w:rPr>
      </w:pPr>
      <w:hyperlink r:id="rId157" w:history="1">
        <w:r w:rsidRPr="00D54850">
          <w:rPr>
            <w:rStyle w:val="Hipervnculo"/>
            <w:lang w:val="es-MX"/>
          </w:rPr>
          <w:t>pedro.falconi@unesum.edu.ec</w:t>
        </w:r>
      </w:hyperlink>
    </w:p>
    <w:p w14:paraId="75FCBEFB" w14:textId="047B82C2" w:rsidR="006C4805" w:rsidRDefault="00E61B52" w:rsidP="00FB1BF6">
      <w:pPr>
        <w:rPr>
          <w:noProof/>
          <w:lang w:val="es-MX"/>
        </w:rPr>
      </w:pPr>
      <w:hyperlink r:id="rId158" w:history="1">
        <w:r w:rsidRPr="00D54850">
          <w:rPr>
            <w:rStyle w:val="Hipervnculo"/>
            <w:lang w:val="es-MX"/>
          </w:rPr>
          <w:t>https://orcid.org/0000-0002-7878-092X</w:t>
        </w:r>
      </w:hyperlink>
    </w:p>
    <w:p w14:paraId="19716630" w14:textId="77777777" w:rsidR="00E61B52" w:rsidRDefault="00E61B52" w:rsidP="00FB1BF6">
      <w:pPr>
        <w:rPr>
          <w:noProof/>
          <w:lang w:val="es-MX"/>
        </w:rPr>
      </w:pPr>
    </w:p>
    <w:p w14:paraId="2E03E07F" w14:textId="6C1968CC" w:rsidR="00E61B52" w:rsidRDefault="00E61B52" w:rsidP="00E61B52">
      <w:r w:rsidRPr="00E61B52">
        <w:t>Abogado con énfasis en Derechos Humanos y Ciencias Penales. Posee los títulos de Magíster en Ciencias Penales y Criminológicas, Magíster en Administración Pública y Magíster en Derecho con mención en Derecho Procesal Constitucional. Se desempeña como director de Talento Humano de la Universidad Estatal del Sur de Manabí y como profesor ocasional de la carrera de Derecho, adscrita a la Facultad de Ciencias Sociales, Humanísticas y de la Educación de esta institución. En el ámbito docente, imparte la cátedra de Derecho Constitucional. Su trayectoria académica y profesional se relaciona con el derecho constitucional, los derechos humanos, las ciencias penales, la criminología, la administración pública y la gestión del talento humano.</w:t>
      </w:r>
    </w:p>
    <w:p w14:paraId="25D638BF" w14:textId="77777777" w:rsidR="00E61B52" w:rsidRDefault="00E61B52">
      <w:pPr>
        <w:spacing w:before="0" w:after="160" w:line="278" w:lineRule="auto"/>
        <w:jc w:val="left"/>
      </w:pPr>
      <w:r>
        <w:br w:type="page"/>
      </w:r>
    </w:p>
    <w:p w14:paraId="401B22F8" w14:textId="15255B1F" w:rsidR="00E61B52" w:rsidRPr="00FB1BF6" w:rsidRDefault="00CC4889" w:rsidP="00E61B52">
      <w:pPr>
        <w:rPr>
          <w:lang w:val="es-MX"/>
        </w:rPr>
      </w:pPr>
      <w:r>
        <w:rPr>
          <w:lang w:val="es-MX"/>
        </w:rPr>
        <w:lastRenderedPageBreak/>
        <w:t xml:space="preserve">Mgtr. </w:t>
      </w:r>
      <w:r w:rsidR="00136A77" w:rsidRPr="00136A77">
        <w:rPr>
          <w:lang w:val="es-MX"/>
        </w:rPr>
        <w:t>Fabian Rigoberto Román Lainez</w:t>
      </w:r>
    </w:p>
    <w:p w14:paraId="313623EE" w14:textId="702CF985" w:rsidR="008F5F16" w:rsidRDefault="00CC4889" w:rsidP="008F5F16">
      <w:pPr>
        <w:rPr>
          <w:lang w:val="es-MX"/>
        </w:rPr>
      </w:pPr>
      <w:r w:rsidRPr="00CC4889">
        <w:rPr>
          <w:lang w:val="es-MX"/>
        </w:rPr>
        <w:t>Ministerio de Educación</w:t>
      </w:r>
    </w:p>
    <w:p w14:paraId="649E98F2" w14:textId="02547CF2" w:rsidR="00CC4889" w:rsidRDefault="00CC4889" w:rsidP="008F5F16">
      <w:pPr>
        <w:rPr>
          <w:lang w:val="es-MX"/>
        </w:rPr>
      </w:pPr>
      <w:hyperlink r:id="rId159" w:history="1">
        <w:r w:rsidRPr="00D54850">
          <w:rPr>
            <w:rStyle w:val="Hipervnculo"/>
            <w:lang w:val="es-MX"/>
          </w:rPr>
          <w:t>faromanl67@gmail.com</w:t>
        </w:r>
      </w:hyperlink>
    </w:p>
    <w:p w14:paraId="029DA3FD" w14:textId="78A0485F" w:rsidR="00CC4889" w:rsidRPr="008F5F16" w:rsidRDefault="00CC4889" w:rsidP="008F5F16">
      <w:pPr>
        <w:rPr>
          <w:lang w:val="es-MX"/>
        </w:rPr>
      </w:pPr>
      <w:r w:rsidRPr="00CC4889">
        <w:rPr>
          <w:lang w:val="es-MX"/>
        </w:rPr>
        <w:t>https://orcid.org/0009-0003-6128-5230</w:t>
      </w:r>
    </w:p>
    <w:p w14:paraId="31ECAE8A" w14:textId="77777777" w:rsidR="00C75B3F" w:rsidRPr="00C75B3F" w:rsidRDefault="00C75B3F" w:rsidP="00C75B3F">
      <w:pPr>
        <w:rPr>
          <w:lang w:val="es-MX"/>
        </w:rPr>
      </w:pPr>
    </w:p>
    <w:p w14:paraId="4E8F359B" w14:textId="77777777" w:rsidR="00464B80" w:rsidRPr="00464B80" w:rsidRDefault="00464B80" w:rsidP="00464B80">
      <w:pPr>
        <w:rPr>
          <w:lang w:val="es-MX"/>
        </w:rPr>
      </w:pPr>
    </w:p>
    <w:p w14:paraId="08950D33" w14:textId="77777777" w:rsidR="002E19B9" w:rsidRPr="002E19B9" w:rsidRDefault="002E19B9" w:rsidP="002E19B9">
      <w:pPr>
        <w:rPr>
          <w:lang w:val="es-MX"/>
        </w:rPr>
      </w:pPr>
      <w:r w:rsidRPr="002E19B9">
        <w:rPr>
          <w:lang w:val="es-MX"/>
        </w:rPr>
        <w:t>Fabián Román Laínez es docente con una trayectoria académica y profesional vinculada a la educación superior y a la educación de personas jóvenes y adultas. Durante cuatro años se desempeñó como docente de la Universidad Estatal Península de Santa Elena, aportando a la formación de estudiantes en las carreras de Ingeniería Comercial, Turismo y Administración Pública, dentro del área de Administración de Empresas.</w:t>
      </w:r>
    </w:p>
    <w:p w14:paraId="59280C35" w14:textId="77777777" w:rsidR="002E19B9" w:rsidRPr="002E19B9" w:rsidRDefault="002E19B9" w:rsidP="002E19B9">
      <w:pPr>
        <w:rPr>
          <w:lang w:val="es-MX"/>
        </w:rPr>
      </w:pPr>
    </w:p>
    <w:p w14:paraId="5DE31513" w14:textId="5E181FE9" w:rsidR="000C5DBD" w:rsidRDefault="002E19B9" w:rsidP="002E19B9">
      <w:pPr>
        <w:rPr>
          <w:lang w:val="es-MX"/>
        </w:rPr>
      </w:pPr>
      <w:r w:rsidRPr="002E19B9">
        <w:rPr>
          <w:lang w:val="es-MX"/>
        </w:rPr>
        <w:t>Actualmente cuenta con siete años de experiencia como docente en la modalidad de Educación para Personas con Escolaridad Inconclusa, labor que le ha permitido contribuir a la formación y reinserción educativa de jóvenes y adultos. Su trayectoria se caracteriza por el compromiso con una educación inclusiva y superior, la actualización permanente y el fortalecimiento de las oportunidades de aprendizaje para diversos grupos de la sociedad ecuatoriana.</w:t>
      </w:r>
    </w:p>
    <w:p w14:paraId="5E8D1066" w14:textId="77777777" w:rsidR="000C5DBD" w:rsidRDefault="000C5DBD">
      <w:pPr>
        <w:spacing w:before="0" w:after="160" w:line="278" w:lineRule="auto"/>
        <w:jc w:val="left"/>
        <w:rPr>
          <w:lang w:val="es-MX"/>
        </w:rPr>
      </w:pPr>
      <w:r>
        <w:rPr>
          <w:lang w:val="es-MX"/>
        </w:rPr>
        <w:br w:type="page"/>
      </w:r>
    </w:p>
    <w:p w14:paraId="0CC49F2C" w14:textId="2EF6C0AC" w:rsidR="000C5DBD" w:rsidRDefault="00A6502D" w:rsidP="000C5DBD">
      <w:r>
        <w:rPr>
          <w:noProof/>
        </w:rPr>
        <w:lastRenderedPageBreak/>
        <w:drawing>
          <wp:anchor distT="0" distB="0" distL="114300" distR="114300" simplePos="0" relativeHeight="251668480" behindDoc="0" locked="0" layoutInCell="1" allowOverlap="1" wp14:anchorId="4622A4E2" wp14:editId="4B4A656B">
            <wp:simplePos x="0" y="0"/>
            <wp:positionH relativeFrom="column">
              <wp:posOffset>2625090</wp:posOffset>
            </wp:positionH>
            <wp:positionV relativeFrom="paragraph">
              <wp:posOffset>0</wp:posOffset>
            </wp:positionV>
            <wp:extent cx="2885143" cy="3600000"/>
            <wp:effectExtent l="0" t="0" r="0" b="635"/>
            <wp:wrapSquare wrapText="bothSides"/>
            <wp:docPr id="139220069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885143"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DBD" w:rsidRPr="000C5DBD">
        <w:t>Mgtr. Yonatan Calizaya Ramos</w:t>
      </w:r>
    </w:p>
    <w:p w14:paraId="3A391E4D" w14:textId="77777777" w:rsidR="000C5DBD" w:rsidRDefault="000C5DBD" w:rsidP="000C5DBD">
      <w:r w:rsidRPr="000C5DBD">
        <w:t xml:space="preserve">Universidad Nacional de Juliaca </w:t>
      </w:r>
    </w:p>
    <w:p w14:paraId="7B8BA411" w14:textId="77777777" w:rsidR="000C5DBD" w:rsidRDefault="000C5DBD" w:rsidP="000C5DBD">
      <w:hyperlink r:id="rId161" w:history="1">
        <w:r w:rsidRPr="00D54850">
          <w:rPr>
            <w:rStyle w:val="Hipervnculo"/>
          </w:rPr>
          <w:t>eldercalizaya@gmail.com</w:t>
        </w:r>
      </w:hyperlink>
    </w:p>
    <w:p w14:paraId="34468F4B" w14:textId="75007E35" w:rsidR="000C5DBD" w:rsidRDefault="000C5DBD" w:rsidP="000C5DBD">
      <w:r w:rsidRPr="000C5DBD">
        <w:t>0009-0001-6668-8667</w:t>
      </w:r>
    </w:p>
    <w:p w14:paraId="57C3FBBA" w14:textId="77777777" w:rsidR="000C5DBD" w:rsidRDefault="000C5DBD" w:rsidP="000C5DBD"/>
    <w:p w14:paraId="22742E12" w14:textId="3A45A66E" w:rsidR="009C4ACF" w:rsidRDefault="000C5DBD" w:rsidP="000C5DBD">
      <w:proofErr w:type="gramStart"/>
      <w:r w:rsidRPr="000C5DBD">
        <w:t>Ingeniero  economista</w:t>
      </w:r>
      <w:proofErr w:type="gramEnd"/>
      <w:r w:rsidRPr="000C5DBD">
        <w:t xml:space="preserve">  </w:t>
      </w:r>
      <w:r w:rsidRPr="000C5DBD">
        <w:t xml:space="preserve">y </w:t>
      </w:r>
      <w:proofErr w:type="gramStart"/>
      <w:r w:rsidRPr="000C5DBD">
        <w:t>docente</w:t>
      </w:r>
      <w:r w:rsidRPr="000C5DBD">
        <w:t xml:space="preserve">  universitario,  con</w:t>
      </w:r>
      <w:proofErr w:type="gramEnd"/>
      <w:r w:rsidRPr="000C5DBD">
        <w:t xml:space="preserve">  </w:t>
      </w:r>
      <w:proofErr w:type="gramStart"/>
      <w:r w:rsidRPr="000C5DBD">
        <w:t>especialización  en</w:t>
      </w:r>
      <w:proofErr w:type="gramEnd"/>
      <w:r w:rsidRPr="000C5DBD">
        <w:t xml:space="preserve">  </w:t>
      </w:r>
      <w:r w:rsidR="002F5369" w:rsidRPr="000C5DBD">
        <w:t xml:space="preserve">Políticas </w:t>
      </w:r>
      <w:proofErr w:type="gramStart"/>
      <w:r w:rsidR="002F5369" w:rsidRPr="000C5DBD">
        <w:t>Públicas</w:t>
      </w:r>
      <w:r w:rsidRPr="000C5DBD">
        <w:t>,  Gerencia</w:t>
      </w:r>
      <w:proofErr w:type="gramEnd"/>
      <w:r w:rsidRPr="000C5DBD">
        <w:t xml:space="preserve">  </w:t>
      </w:r>
      <w:proofErr w:type="gramStart"/>
      <w:r w:rsidRPr="000C5DBD">
        <w:t>y  Gestión</w:t>
      </w:r>
      <w:proofErr w:type="gramEnd"/>
      <w:r w:rsidRPr="000C5DBD">
        <w:t xml:space="preserve">  </w:t>
      </w:r>
      <w:proofErr w:type="gramStart"/>
      <w:r w:rsidRPr="000C5DBD">
        <w:t>de  Proyectos,  además</w:t>
      </w:r>
      <w:proofErr w:type="gramEnd"/>
      <w:r w:rsidRPr="000C5DBD">
        <w:t xml:space="preserve">  </w:t>
      </w:r>
      <w:proofErr w:type="gramStart"/>
      <w:r w:rsidRPr="000C5DBD">
        <w:t>de  formación</w:t>
      </w:r>
      <w:proofErr w:type="gramEnd"/>
      <w:r w:rsidRPr="000C5DBD">
        <w:t xml:space="preserve">  </w:t>
      </w:r>
      <w:r w:rsidR="002F5369" w:rsidRPr="000C5DBD">
        <w:t xml:space="preserve">complementaria </w:t>
      </w:r>
      <w:proofErr w:type="gramStart"/>
      <w:r w:rsidR="002F5369" w:rsidRPr="000C5DBD">
        <w:t>en</w:t>
      </w:r>
      <w:r w:rsidRPr="000C5DBD">
        <w:t xml:space="preserve">  </w:t>
      </w:r>
      <w:r w:rsidR="002F5369" w:rsidRPr="000C5DBD">
        <w:t>planificación</w:t>
      </w:r>
      <w:proofErr w:type="gramEnd"/>
      <w:r w:rsidR="002F5369" w:rsidRPr="000C5DBD">
        <w:t xml:space="preserve"> </w:t>
      </w:r>
      <w:proofErr w:type="gramStart"/>
      <w:r w:rsidR="002F5369" w:rsidRPr="000C5DBD">
        <w:t>estratégica</w:t>
      </w:r>
      <w:r w:rsidRPr="000C5DBD">
        <w:t>,  desarrollo</w:t>
      </w:r>
      <w:proofErr w:type="gramEnd"/>
      <w:r w:rsidRPr="000C5DBD">
        <w:t xml:space="preserve"> </w:t>
      </w:r>
      <w:proofErr w:type="gramStart"/>
      <w:r w:rsidRPr="000C5DBD">
        <w:t>territorial  y</w:t>
      </w:r>
      <w:proofErr w:type="gramEnd"/>
      <w:r w:rsidRPr="000C5DBD">
        <w:t xml:space="preserve">  </w:t>
      </w:r>
      <w:r w:rsidR="002F5369" w:rsidRPr="000C5DBD">
        <w:t>cooperación internacional</w:t>
      </w:r>
      <w:r w:rsidRPr="000C5DBD">
        <w:t xml:space="preserve">.  </w:t>
      </w:r>
      <w:r w:rsidR="002F5369" w:rsidRPr="000C5DBD">
        <w:t>Cuenta con amplia experiencia profesional</w:t>
      </w:r>
      <w:r w:rsidRPr="000C5DBD">
        <w:t xml:space="preserve"> en el diseño, formulación, evaluación y gestión de proyectos </w:t>
      </w:r>
      <w:proofErr w:type="gramStart"/>
      <w:r w:rsidRPr="000C5DBD">
        <w:t>de  desarrollo</w:t>
      </w:r>
      <w:proofErr w:type="gramEnd"/>
      <w:r w:rsidRPr="000C5DBD">
        <w:t xml:space="preserve">  </w:t>
      </w:r>
      <w:proofErr w:type="gramStart"/>
      <w:r w:rsidRPr="000C5DBD">
        <w:t>económico  y</w:t>
      </w:r>
      <w:proofErr w:type="gramEnd"/>
      <w:r w:rsidRPr="000C5DBD">
        <w:t xml:space="preserve">  </w:t>
      </w:r>
      <w:proofErr w:type="gramStart"/>
      <w:r w:rsidRPr="000C5DBD">
        <w:t>social,  así</w:t>
      </w:r>
      <w:proofErr w:type="gramEnd"/>
      <w:r w:rsidRPr="000C5DBD">
        <w:t xml:space="preserve">  </w:t>
      </w:r>
      <w:proofErr w:type="gramStart"/>
      <w:r w:rsidRPr="000C5DBD">
        <w:t>como  en</w:t>
      </w:r>
      <w:proofErr w:type="gramEnd"/>
      <w:r w:rsidRPr="000C5DBD">
        <w:t xml:space="preserve">  </w:t>
      </w:r>
      <w:proofErr w:type="gramStart"/>
      <w:r w:rsidRPr="000C5DBD">
        <w:t>la  implementación</w:t>
      </w:r>
      <w:proofErr w:type="gramEnd"/>
      <w:r w:rsidRPr="000C5DBD">
        <w:t xml:space="preserve">  </w:t>
      </w:r>
      <w:r w:rsidR="002F5369" w:rsidRPr="000C5DBD">
        <w:t>de iniciativas</w:t>
      </w:r>
      <w:r w:rsidRPr="000C5DBD">
        <w:t xml:space="preserve"> financiadas por organismos de cooperación internacional, entidades públicas y organizaciones de desarrollo. Mi trayectoria se ha orientado al fortalecimiento institucional, la gestión pública, la inversión </w:t>
      </w:r>
      <w:r w:rsidR="002F5369" w:rsidRPr="000C5DBD">
        <w:t xml:space="preserve">pública, </w:t>
      </w:r>
      <w:proofErr w:type="gramStart"/>
      <w:r w:rsidR="002F5369" w:rsidRPr="000C5DBD">
        <w:t>el</w:t>
      </w:r>
      <w:r w:rsidRPr="000C5DBD">
        <w:t xml:space="preserve">  desarrollo</w:t>
      </w:r>
      <w:proofErr w:type="gramEnd"/>
      <w:r w:rsidRPr="000C5DBD">
        <w:t xml:space="preserve">  </w:t>
      </w:r>
      <w:proofErr w:type="gramStart"/>
      <w:r w:rsidRPr="000C5DBD">
        <w:t>territorial,  la</w:t>
      </w:r>
      <w:proofErr w:type="gramEnd"/>
      <w:r w:rsidRPr="000C5DBD">
        <w:t xml:space="preserve">  </w:t>
      </w:r>
      <w:proofErr w:type="gramStart"/>
      <w:r w:rsidRPr="000C5DBD">
        <w:t>competitividad  y</w:t>
      </w:r>
      <w:proofErr w:type="gramEnd"/>
      <w:r w:rsidRPr="000C5DBD">
        <w:t xml:space="preserve">  </w:t>
      </w:r>
      <w:proofErr w:type="gramStart"/>
      <w:r w:rsidRPr="000C5DBD">
        <w:t>la  asociatividad</w:t>
      </w:r>
      <w:proofErr w:type="gramEnd"/>
      <w:r w:rsidRPr="000C5DBD">
        <w:t xml:space="preserve">  productiva.  </w:t>
      </w:r>
      <w:proofErr w:type="gramStart"/>
      <w:r w:rsidRPr="000C5DBD">
        <w:t>En  el</w:t>
      </w:r>
      <w:proofErr w:type="gramEnd"/>
      <w:r w:rsidRPr="000C5DBD">
        <w:t xml:space="preserve">  </w:t>
      </w:r>
      <w:proofErr w:type="gramStart"/>
      <w:r w:rsidRPr="000C5DBD">
        <w:t>ámbito  académico,  se</w:t>
      </w:r>
      <w:proofErr w:type="gramEnd"/>
      <w:r w:rsidRPr="000C5DBD">
        <w:t xml:space="preserve">  </w:t>
      </w:r>
      <w:proofErr w:type="gramStart"/>
      <w:r w:rsidRPr="000C5DBD">
        <w:t>desempeña  como</w:t>
      </w:r>
      <w:proofErr w:type="gramEnd"/>
      <w:r w:rsidRPr="000C5DBD">
        <w:t xml:space="preserve">  </w:t>
      </w:r>
      <w:proofErr w:type="gramStart"/>
      <w:r w:rsidRPr="000C5DBD">
        <w:t>docente  universitario</w:t>
      </w:r>
      <w:proofErr w:type="gramEnd"/>
      <w:r w:rsidRPr="000C5DBD">
        <w:t xml:space="preserve"> en programas de pregrado y posgrado, impartiendo cursos </w:t>
      </w:r>
      <w:proofErr w:type="gramStart"/>
      <w:r w:rsidRPr="000C5DBD">
        <w:t>relacionados  con</w:t>
      </w:r>
      <w:proofErr w:type="gramEnd"/>
      <w:r w:rsidRPr="000C5DBD">
        <w:t xml:space="preserve">  </w:t>
      </w:r>
      <w:r w:rsidRPr="000C5DBD">
        <w:t xml:space="preserve">economía, </w:t>
      </w:r>
      <w:proofErr w:type="gramStart"/>
      <w:r w:rsidRPr="000C5DBD">
        <w:t>formulación</w:t>
      </w:r>
      <w:r w:rsidRPr="000C5DBD">
        <w:t xml:space="preserve">  y</w:t>
      </w:r>
      <w:proofErr w:type="gramEnd"/>
      <w:r w:rsidRPr="000C5DBD">
        <w:t xml:space="preserve">  </w:t>
      </w:r>
      <w:proofErr w:type="gramStart"/>
      <w:r w:rsidRPr="000C5DBD">
        <w:t>evaluación  de</w:t>
      </w:r>
      <w:proofErr w:type="gramEnd"/>
      <w:r w:rsidRPr="000C5DBD">
        <w:t xml:space="preserve">  </w:t>
      </w:r>
      <w:proofErr w:type="gramStart"/>
      <w:r w:rsidRPr="000C5DBD">
        <w:t>proyectos,  gestión</w:t>
      </w:r>
      <w:proofErr w:type="gramEnd"/>
      <w:r w:rsidRPr="000C5DBD">
        <w:t xml:space="preserve"> pública, investigación científica y desarrollo regional. Asimismo, desarrollo actividades de investigación en áreas como economía aplicada, </w:t>
      </w:r>
      <w:proofErr w:type="gramStart"/>
      <w:r w:rsidRPr="000C5DBD">
        <w:t>teoría  de</w:t>
      </w:r>
      <w:proofErr w:type="gramEnd"/>
      <w:r w:rsidRPr="000C5DBD">
        <w:t xml:space="preserve">  </w:t>
      </w:r>
      <w:proofErr w:type="gramStart"/>
      <w:r w:rsidRPr="000C5DBD">
        <w:t>juegos,  desarrollo</w:t>
      </w:r>
      <w:proofErr w:type="gramEnd"/>
      <w:r w:rsidRPr="000C5DBD">
        <w:t xml:space="preserve">  </w:t>
      </w:r>
      <w:proofErr w:type="gramStart"/>
      <w:r w:rsidRPr="000C5DBD">
        <w:t>rural,  cadenas</w:t>
      </w:r>
      <w:proofErr w:type="gramEnd"/>
      <w:r w:rsidRPr="000C5DBD">
        <w:t xml:space="preserve">  </w:t>
      </w:r>
      <w:proofErr w:type="gramStart"/>
      <w:r w:rsidRPr="000C5DBD">
        <w:t>productivas  y</w:t>
      </w:r>
      <w:proofErr w:type="gramEnd"/>
      <w:r w:rsidRPr="000C5DBD">
        <w:t xml:space="preserve">  </w:t>
      </w:r>
      <w:proofErr w:type="gramStart"/>
      <w:r w:rsidRPr="000C5DBD">
        <w:t>políticas  públicas</w:t>
      </w:r>
      <w:proofErr w:type="gramEnd"/>
      <w:r w:rsidRPr="000C5DBD">
        <w:t xml:space="preserve">, participando como ponente en eventos académicos nacionales </w:t>
      </w:r>
      <w:proofErr w:type="gramStart"/>
      <w:r w:rsidRPr="000C5DBD">
        <w:t>e  internacionales</w:t>
      </w:r>
      <w:proofErr w:type="gramEnd"/>
      <w:r w:rsidRPr="000C5DBD">
        <w:t xml:space="preserve">  </w:t>
      </w:r>
      <w:proofErr w:type="gramStart"/>
      <w:r w:rsidRPr="000C5DBD">
        <w:t>y  contribuyendo</w:t>
      </w:r>
      <w:proofErr w:type="gramEnd"/>
      <w:r w:rsidRPr="000C5DBD">
        <w:t xml:space="preserve">  </w:t>
      </w:r>
      <w:proofErr w:type="gramStart"/>
      <w:r w:rsidRPr="000C5DBD">
        <w:t>con  publicaciones</w:t>
      </w:r>
      <w:proofErr w:type="gramEnd"/>
      <w:r w:rsidRPr="000C5DBD">
        <w:t xml:space="preserve">  </w:t>
      </w:r>
      <w:proofErr w:type="gramStart"/>
      <w:r w:rsidRPr="000C5DBD">
        <w:t>científicas  y</w:t>
      </w:r>
      <w:proofErr w:type="gramEnd"/>
      <w:r w:rsidRPr="000C5DBD">
        <w:t xml:space="preserve"> </w:t>
      </w:r>
      <w:proofErr w:type="gramStart"/>
      <w:r w:rsidRPr="000C5DBD">
        <w:t>documentos  técnicos</w:t>
      </w:r>
      <w:proofErr w:type="gramEnd"/>
      <w:r w:rsidRPr="000C5DBD">
        <w:t xml:space="preserve">  </w:t>
      </w:r>
      <w:proofErr w:type="gramStart"/>
      <w:r w:rsidRPr="000C5DBD">
        <w:t>orientados  a</w:t>
      </w:r>
      <w:proofErr w:type="gramEnd"/>
      <w:r w:rsidRPr="000C5DBD">
        <w:t xml:space="preserve">  </w:t>
      </w:r>
      <w:proofErr w:type="gramStart"/>
      <w:r w:rsidRPr="000C5DBD">
        <w:t>la  generación</w:t>
      </w:r>
      <w:proofErr w:type="gramEnd"/>
      <w:r w:rsidRPr="000C5DBD">
        <w:t xml:space="preserve">  </w:t>
      </w:r>
      <w:proofErr w:type="gramStart"/>
      <w:r w:rsidRPr="000C5DBD">
        <w:t>de  conocimiento</w:t>
      </w:r>
      <w:proofErr w:type="gramEnd"/>
      <w:r w:rsidRPr="000C5DBD">
        <w:t xml:space="preserve">  </w:t>
      </w:r>
      <w:proofErr w:type="gramStart"/>
      <w:r w:rsidRPr="000C5DBD">
        <w:t>y  al</w:t>
      </w:r>
      <w:proofErr w:type="gramEnd"/>
      <w:r w:rsidRPr="000C5DBD">
        <w:t xml:space="preserve">  desarrollo sostenible.</w:t>
      </w:r>
    </w:p>
    <w:p w14:paraId="5310FF47" w14:textId="77777777" w:rsidR="002F5369" w:rsidRPr="000C5DBD" w:rsidRDefault="002F5369" w:rsidP="000C5DBD"/>
    <w:p w14:paraId="47470E7C" w14:textId="15F453F9" w:rsidR="00E21A2B" w:rsidRDefault="00E21A2B">
      <w:pPr>
        <w:spacing w:before="0" w:after="160" w:line="278" w:lineRule="auto"/>
        <w:jc w:val="left"/>
        <w:rPr>
          <w:lang w:val="es-MX"/>
        </w:rPr>
      </w:pPr>
      <w:r>
        <w:rPr>
          <w:lang w:val="es-MX"/>
        </w:rPr>
        <w:br w:type="page"/>
      </w:r>
    </w:p>
    <w:p w14:paraId="594628DF" w14:textId="25AA31A2" w:rsidR="002D4C36" w:rsidRDefault="00F83B49" w:rsidP="002D4C36">
      <w:pPr>
        <w:rPr>
          <w:lang w:val="es-MX"/>
        </w:rPr>
      </w:pPr>
      <w:r>
        <w:rPr>
          <w:noProof/>
          <w:lang w:val="es-MX"/>
        </w:rPr>
        <w:lastRenderedPageBreak/>
        <w:drawing>
          <wp:anchor distT="0" distB="0" distL="114300" distR="114300" simplePos="0" relativeHeight="251666432" behindDoc="0" locked="0" layoutInCell="1" allowOverlap="1" wp14:anchorId="30CBD9CC" wp14:editId="0D3ED6FE">
            <wp:simplePos x="0" y="0"/>
            <wp:positionH relativeFrom="column">
              <wp:posOffset>2253615</wp:posOffset>
            </wp:positionH>
            <wp:positionV relativeFrom="paragraph">
              <wp:posOffset>0</wp:posOffset>
            </wp:positionV>
            <wp:extent cx="3134360" cy="3599815"/>
            <wp:effectExtent l="0" t="0" r="8890" b="635"/>
            <wp:wrapSquare wrapText="bothSides"/>
            <wp:docPr id="206519902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134360" cy="359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E80AA1" w:rsidRPr="00E80AA1">
        <w:rPr>
          <w:lang w:val="es-MX"/>
        </w:rPr>
        <w:t>Byron Rolando Chango Muñoz</w:t>
      </w:r>
    </w:p>
    <w:p w14:paraId="09D4F1DC" w14:textId="0A9CB302" w:rsidR="00E80AA1" w:rsidRDefault="00191F31" w:rsidP="002D4C36">
      <w:pPr>
        <w:rPr>
          <w:lang w:val="es-MX"/>
        </w:rPr>
      </w:pPr>
      <w:r w:rsidRPr="00191F31">
        <w:rPr>
          <w:lang w:val="es-MX"/>
        </w:rPr>
        <w:t>Investigador Independiente</w:t>
      </w:r>
    </w:p>
    <w:p w14:paraId="2E8685D4" w14:textId="5594D137" w:rsidR="00191F31" w:rsidRDefault="00191F31" w:rsidP="002D4C36">
      <w:pPr>
        <w:rPr>
          <w:lang w:val="es-MX"/>
        </w:rPr>
      </w:pPr>
      <w:hyperlink r:id="rId163" w:history="1">
        <w:r w:rsidRPr="00D54850">
          <w:rPr>
            <w:rStyle w:val="Hipervnculo"/>
            <w:lang w:val="es-MX"/>
          </w:rPr>
          <w:t>brchm.1983@gmail.com</w:t>
        </w:r>
      </w:hyperlink>
    </w:p>
    <w:p w14:paraId="3CDF09F4" w14:textId="5201AF2D" w:rsidR="00191F31" w:rsidRDefault="00191F31" w:rsidP="002D4C36">
      <w:pPr>
        <w:rPr>
          <w:lang w:val="es-MX"/>
        </w:rPr>
      </w:pPr>
      <w:r w:rsidRPr="00191F31">
        <w:rPr>
          <w:lang w:val="es-MX"/>
        </w:rPr>
        <w:t>0009-0001-6494-564X</w:t>
      </w:r>
    </w:p>
    <w:p w14:paraId="1C198479" w14:textId="77777777" w:rsidR="00191F31" w:rsidRDefault="00191F31" w:rsidP="002D4C36">
      <w:pPr>
        <w:rPr>
          <w:lang w:val="es-MX"/>
        </w:rPr>
      </w:pPr>
    </w:p>
    <w:p w14:paraId="2C57F4FF" w14:textId="77777777" w:rsidR="00191F31" w:rsidRPr="00191F31" w:rsidRDefault="00191F31" w:rsidP="00191F31">
      <w:pPr>
        <w:rPr>
          <w:lang w:val="es-MX"/>
        </w:rPr>
      </w:pPr>
      <w:r w:rsidRPr="00191F31">
        <w:rPr>
          <w:lang w:val="es-MX"/>
        </w:rPr>
        <w:t xml:space="preserve">Byron Rolando Chango Muñoz, es un profesional ecuatoriano cuya trayectoria se ha consolidado en los ámbitos de la educación, la innovación académica y la formación policial. Es Licenciado en Lenguaje y Comunicación por la Universidad Tecnológica Equinoccial y complementó esta formación con una Tecnología en Desarrollo Integral del Niño obtenida en el Instituto Tecnológico José Chiriboga Grijalba. Esta combinación de estudios fortaleció su visión pedagógica y le permitió desarrollar un enfoque integral hacia el aprendizaje humano. </w:t>
      </w:r>
    </w:p>
    <w:p w14:paraId="5BD72E28" w14:textId="77777777" w:rsidR="00191F31" w:rsidRPr="00191F31" w:rsidRDefault="00191F31" w:rsidP="00191F31">
      <w:pPr>
        <w:rPr>
          <w:lang w:val="es-MX"/>
        </w:rPr>
      </w:pPr>
      <w:r w:rsidRPr="00191F31">
        <w:rPr>
          <w:lang w:val="es-MX"/>
        </w:rPr>
        <w:t>Comprometido con la excelencia y la actualización constante, cursó la Maestría en Innovación en la Universidad Andina Simón Bolívar. Este programa fortaleció su capacidad para integrar metodologías contemporáneas, enfoques transformadores y prácticas de investigación orientadas a la mejora del sistema educativo. Durante su formación de posgrado, profundizó en el análisis de la innovación en contextos educativos y en estrategias que permiten dinamizar los procesos de enseñanza-aprendizaje. Su trabajo académico se enfocó en comprender cómo la creatividad, la tecnología y el pensamiento crítico pueden integrarse de manera efectiva en el aula. Esta maestría consolidó su visión de un sistema educativo más flexible, inclusivo y conectado con los desafíos del siglo XXI.</w:t>
      </w:r>
    </w:p>
    <w:p w14:paraId="0A50E8A4" w14:textId="77777777" w:rsidR="00191F31" w:rsidRPr="00191F31" w:rsidRDefault="00191F31" w:rsidP="00191F31">
      <w:pPr>
        <w:rPr>
          <w:lang w:val="es-MX"/>
        </w:rPr>
      </w:pPr>
      <w:r w:rsidRPr="00191F31">
        <w:rPr>
          <w:lang w:val="es-MX"/>
        </w:rPr>
        <w:t xml:space="preserve">En el ámbito profesional, ha desempeñado un rol destacado como Instructor en las Escuelas de Formación de Policías, donde ha contribuido al desarrollo disciplinario, ético y humano del personal en preparación. Su labor dentro de la formación policial se ha centrado en promover valores institucionales, fortalecer las competencias ciudadanas y fomentar una cultura de respeto, responsabilidad y servicio. Además, ha ejercido como Inspector de Curso en la Unidad Educativa Liceo Policial, impulsando procesos educativos orientados a la excelencia académica y la formación integral de niños y adolescentes. Su gestión en esta institución se caracteriza por el liderazgo responsable, la organización eficiente y el acompañamiento cercano a estudiantes y </w:t>
      </w:r>
      <w:r w:rsidRPr="00191F31">
        <w:rPr>
          <w:lang w:val="es-MX"/>
        </w:rPr>
        <w:lastRenderedPageBreak/>
        <w:t>familias. En cada una de estas funciones, ha demostrado un compromiso permanente con el crecimiento humano y profesional de quienes acompañan su labor.</w:t>
      </w:r>
    </w:p>
    <w:p w14:paraId="6D87E0AE" w14:textId="3B748DF9" w:rsidR="00191F31" w:rsidRPr="002D4C36" w:rsidRDefault="00191F31" w:rsidP="00191F31">
      <w:pPr>
        <w:rPr>
          <w:lang w:val="es-MX"/>
        </w:rPr>
      </w:pPr>
    </w:p>
    <w:p w14:paraId="3A9D6C93" w14:textId="67BCB1D3" w:rsidR="00EE1BD3" w:rsidRPr="00EE1BD3" w:rsidRDefault="00EE1BD3" w:rsidP="00EE1BD3">
      <w:pPr>
        <w:rPr>
          <w:lang w:val="es-MX"/>
        </w:rPr>
      </w:pPr>
    </w:p>
    <w:p w14:paraId="4B3E4503" w14:textId="77777777" w:rsidR="00155A39" w:rsidRPr="00155A39" w:rsidRDefault="00155A39" w:rsidP="002677F5">
      <w:pPr>
        <w:rPr>
          <w:lang w:val="es-MX"/>
        </w:rPr>
      </w:pPr>
    </w:p>
    <w:p w14:paraId="29DF557B" w14:textId="531E4905" w:rsidR="00F91696" w:rsidRDefault="003157D8" w:rsidP="00F53CA8">
      <w:pPr>
        <w:spacing w:before="0" w:after="160" w:line="278" w:lineRule="auto"/>
        <w:rPr>
          <w:b/>
          <w:bCs/>
        </w:rPr>
      </w:pPr>
      <w:r>
        <w:rPr>
          <w:noProof/>
        </w:rPr>
        <w:drawing>
          <wp:anchor distT="0" distB="0" distL="114300" distR="114300" simplePos="0" relativeHeight="251665408" behindDoc="0" locked="0" layoutInCell="1" allowOverlap="1" wp14:anchorId="6D1B102A" wp14:editId="4BE4185C">
            <wp:simplePos x="0" y="0"/>
            <wp:positionH relativeFrom="column">
              <wp:posOffset>2529840</wp:posOffset>
            </wp:positionH>
            <wp:positionV relativeFrom="paragraph">
              <wp:posOffset>0</wp:posOffset>
            </wp:positionV>
            <wp:extent cx="2936024" cy="3600000"/>
            <wp:effectExtent l="0" t="0" r="0" b="635"/>
            <wp:wrapSquare wrapText="bothSides"/>
            <wp:docPr id="167981328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936024" cy="36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CA8" w:rsidRPr="00F53CA8">
        <w:rPr>
          <w:b/>
          <w:bCs/>
        </w:rPr>
        <w:t>Mgtr.</w:t>
      </w:r>
      <w:r w:rsidR="00F53CA8">
        <w:rPr>
          <w:b/>
          <w:bCs/>
        </w:rPr>
        <w:t xml:space="preserve"> </w:t>
      </w:r>
      <w:r w:rsidR="00F53CA8" w:rsidRPr="00F53CA8">
        <w:rPr>
          <w:b/>
          <w:bCs/>
        </w:rPr>
        <w:t>Juan Carlos Lázaro Guillermo</w:t>
      </w:r>
    </w:p>
    <w:p w14:paraId="48E701F5" w14:textId="1B4BDC2F" w:rsidR="00F53CA8" w:rsidRDefault="00F53CA8" w:rsidP="00F53CA8">
      <w:pPr>
        <w:spacing w:before="0" w:after="160" w:line="278" w:lineRule="auto"/>
        <w:rPr>
          <w:b/>
          <w:bCs/>
        </w:rPr>
      </w:pPr>
      <w:r w:rsidRPr="00F53CA8">
        <w:rPr>
          <w:b/>
          <w:bCs/>
        </w:rPr>
        <w:t>Universidad Nacional Intercultural de la Amazonia</w:t>
      </w:r>
    </w:p>
    <w:p w14:paraId="2F4F9BD0" w14:textId="7CE869F4" w:rsidR="00F53CA8" w:rsidRDefault="007153F0" w:rsidP="007153F0">
      <w:pPr>
        <w:spacing w:before="0" w:after="160" w:line="278" w:lineRule="auto"/>
      </w:pPr>
      <w:hyperlink r:id="rId165" w:history="1">
        <w:r w:rsidRPr="00D54850">
          <w:rPr>
            <w:rStyle w:val="Hipervnculo"/>
          </w:rPr>
          <w:t>jlazarog@unia.edu.pe</w:t>
        </w:r>
      </w:hyperlink>
    </w:p>
    <w:p w14:paraId="7E6FD48F" w14:textId="6A3CAE59" w:rsidR="007153F0" w:rsidRDefault="007153F0" w:rsidP="007153F0">
      <w:pPr>
        <w:spacing w:before="0" w:after="160" w:line="278" w:lineRule="auto"/>
      </w:pPr>
      <w:r w:rsidRPr="007153F0">
        <w:t>0000-0002-4785-9344</w:t>
      </w:r>
    </w:p>
    <w:p w14:paraId="454082C2" w14:textId="4630A45C" w:rsidR="00F91696" w:rsidRDefault="00F91696" w:rsidP="00F91696">
      <w:pPr>
        <w:spacing w:before="0" w:after="160" w:line="278" w:lineRule="auto"/>
      </w:pPr>
    </w:p>
    <w:p w14:paraId="3279E663" w14:textId="77777777" w:rsidR="00F91696" w:rsidRDefault="00F91696" w:rsidP="00F91696">
      <w:pPr>
        <w:spacing w:before="0" w:after="160" w:line="278" w:lineRule="auto"/>
      </w:pPr>
    </w:p>
    <w:p w14:paraId="07BB8591" w14:textId="56E536F3" w:rsidR="00B1656B" w:rsidRDefault="00F91696" w:rsidP="00F91696">
      <w:pPr>
        <w:spacing w:before="0" w:after="160" w:line="278" w:lineRule="auto"/>
        <w:rPr>
          <w:lang w:val="es-MX"/>
        </w:rPr>
      </w:pPr>
      <w:r w:rsidRPr="00F91696">
        <w:t>Docente universitario, investigador RENACYT Nivel IV y conferencista internacional con más de 24 años de experiencia académica en el Perú. Es magíster en Docencia y Calidad, egresado del Doctorado en Medio Ambiente y Desarrollo Sostenible y maestrando en Inteligencia Artificial. Su trayectoria integra docencia, gestión académica e investigación científica en áreas como Ciencia y Tecnología, Gestión Ambiental, Desarrollo Social y Sostenible, Administración, Interculturalidad, Educación, TIC, Inteligencia Artificial aplicada, Ciencia de Datos, transformación digital, innovación educativa, etc. Ha publicado 28 artículos científicos en revistas indexadas, 30 libros académicos y científicos, y posee 12 patentes por modelos de utilidad y software. Ha presentado más de 90 ponencias en congresos nacionales e internacionales y participa activamente en redes globales de investigación, contribuyendo al desarrollo ambiental, científico, tecnológico y educativo en la Amazonía Peruana y Latinoamérica. Revisor par en diferentes revistas científicas.</w:t>
      </w:r>
    </w:p>
    <w:sectPr w:rsidR="00B165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6A85"/>
    <w:multiLevelType w:val="multilevel"/>
    <w:tmpl w:val="763A2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C563BD"/>
    <w:multiLevelType w:val="multilevel"/>
    <w:tmpl w:val="34A05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B05AE"/>
    <w:multiLevelType w:val="multilevel"/>
    <w:tmpl w:val="10AC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A1331E"/>
    <w:multiLevelType w:val="multilevel"/>
    <w:tmpl w:val="70E4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0014D7"/>
    <w:multiLevelType w:val="multilevel"/>
    <w:tmpl w:val="834C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9306C"/>
    <w:multiLevelType w:val="multilevel"/>
    <w:tmpl w:val="BC82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D7129E"/>
    <w:multiLevelType w:val="multilevel"/>
    <w:tmpl w:val="C6EA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7A6B4B"/>
    <w:multiLevelType w:val="multilevel"/>
    <w:tmpl w:val="C1FA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B62FA3"/>
    <w:multiLevelType w:val="multilevel"/>
    <w:tmpl w:val="87F0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BC62BD"/>
    <w:multiLevelType w:val="multilevel"/>
    <w:tmpl w:val="85A22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2278FE"/>
    <w:multiLevelType w:val="multilevel"/>
    <w:tmpl w:val="10E6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3E2C55"/>
    <w:multiLevelType w:val="multilevel"/>
    <w:tmpl w:val="0C6A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B7CB3"/>
    <w:multiLevelType w:val="multilevel"/>
    <w:tmpl w:val="45D0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AF7A23"/>
    <w:multiLevelType w:val="multilevel"/>
    <w:tmpl w:val="E98C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283F4B"/>
    <w:multiLevelType w:val="multilevel"/>
    <w:tmpl w:val="A0C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C74A15"/>
    <w:multiLevelType w:val="multilevel"/>
    <w:tmpl w:val="343C6BB8"/>
    <w:lvl w:ilvl="0">
      <w:start w:val="1"/>
      <w:numFmt w:val="decimal"/>
      <w:pStyle w:val="Ttulo1"/>
      <w:lvlText w:val="%1."/>
      <w:lvlJc w:val="left"/>
      <w:pPr>
        <w:ind w:left="432" w:hanging="432"/>
      </w:pPr>
      <w:rPr>
        <w:rFonts w:hint="default"/>
        <w:color w:val="FFFFFF" w:themeColor="background1"/>
        <w:u w:color="FFFFFF" w:themeColor="background1"/>
      </w:rPr>
    </w:lvl>
    <w:lvl w:ilvl="1">
      <w:start w:val="1"/>
      <w:numFmt w:val="decimal"/>
      <w:pStyle w:val="Ttulo2"/>
      <w:lvlText w:val="%1.%2."/>
      <w:lvlJc w:val="left"/>
      <w:pPr>
        <w:ind w:left="1144" w:hanging="576"/>
      </w:pPr>
      <w:rPr>
        <w:rFonts w:hint="default"/>
      </w:rPr>
    </w:lvl>
    <w:lvl w:ilvl="2">
      <w:start w:val="1"/>
      <w:numFmt w:val="decimal"/>
      <w:pStyle w:val="Ttulo3"/>
      <w:lvlText w:val="%1.%2.%3."/>
      <w:lvlJc w:val="left"/>
      <w:pPr>
        <w:ind w:left="1288" w:hanging="720"/>
      </w:pPr>
      <w:rPr>
        <w:rFonts w:hint="default"/>
      </w:rPr>
    </w:lvl>
    <w:lvl w:ilvl="3">
      <w:start w:val="1"/>
      <w:numFmt w:val="decimal"/>
      <w:pStyle w:val="Ttulo4"/>
      <w:lvlText w:val="%1.%2.%3.%4"/>
      <w:lvlJc w:val="left"/>
      <w:pPr>
        <w:ind w:left="1432" w:hanging="864"/>
      </w:pPr>
      <w:rPr>
        <w:rFonts w:hint="default"/>
      </w:rPr>
    </w:lvl>
    <w:lvl w:ilvl="4">
      <w:start w:val="1"/>
      <w:numFmt w:val="decimal"/>
      <w:pStyle w:val="Ttulo5"/>
      <w:lvlText w:val="%1.%2.%3.%4.%5"/>
      <w:lvlJc w:val="left"/>
      <w:pPr>
        <w:ind w:left="1576" w:hanging="1008"/>
      </w:pPr>
      <w:rPr>
        <w:rFonts w:hint="default"/>
      </w:rPr>
    </w:lvl>
    <w:lvl w:ilvl="5">
      <w:start w:val="1"/>
      <w:numFmt w:val="decimal"/>
      <w:pStyle w:val="Ttulo6"/>
      <w:lvlText w:val="%1.%2.%3.%4.%5.%6"/>
      <w:lvlJc w:val="left"/>
      <w:pPr>
        <w:ind w:left="1720" w:hanging="1152"/>
      </w:pPr>
      <w:rPr>
        <w:rFonts w:hint="default"/>
      </w:rPr>
    </w:lvl>
    <w:lvl w:ilvl="6">
      <w:start w:val="1"/>
      <w:numFmt w:val="decimal"/>
      <w:pStyle w:val="Ttulo7"/>
      <w:lvlText w:val="%1.%2.%3.%4.%5.%6.%7"/>
      <w:lvlJc w:val="left"/>
      <w:pPr>
        <w:ind w:left="1864" w:hanging="1296"/>
      </w:pPr>
      <w:rPr>
        <w:rFonts w:hint="default"/>
      </w:rPr>
    </w:lvl>
    <w:lvl w:ilvl="7">
      <w:start w:val="1"/>
      <w:numFmt w:val="decimal"/>
      <w:pStyle w:val="Ttulo8"/>
      <w:lvlText w:val="%1.%2.%3.%4.%5.%6.%7.%8"/>
      <w:lvlJc w:val="left"/>
      <w:pPr>
        <w:ind w:left="2008" w:hanging="1440"/>
      </w:pPr>
      <w:rPr>
        <w:rFonts w:hint="default"/>
      </w:rPr>
    </w:lvl>
    <w:lvl w:ilvl="8">
      <w:start w:val="1"/>
      <w:numFmt w:val="decimal"/>
      <w:pStyle w:val="Ttulo9"/>
      <w:lvlText w:val="%1.%2.%3.%4.%5.%6.%7.%8.%9"/>
      <w:lvlJc w:val="left"/>
      <w:pPr>
        <w:ind w:left="2152" w:hanging="1584"/>
      </w:pPr>
      <w:rPr>
        <w:rFonts w:hint="default"/>
      </w:rPr>
    </w:lvl>
  </w:abstractNum>
  <w:abstractNum w:abstractNumId="16" w15:restartNumberingAfterBreak="0">
    <w:nsid w:val="590862C6"/>
    <w:multiLevelType w:val="multilevel"/>
    <w:tmpl w:val="023A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713536"/>
    <w:multiLevelType w:val="multilevel"/>
    <w:tmpl w:val="512A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4A5224"/>
    <w:multiLevelType w:val="multilevel"/>
    <w:tmpl w:val="DC50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E02128"/>
    <w:multiLevelType w:val="multilevel"/>
    <w:tmpl w:val="88E6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837E74"/>
    <w:multiLevelType w:val="multilevel"/>
    <w:tmpl w:val="0B88D8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AB204C"/>
    <w:multiLevelType w:val="multilevel"/>
    <w:tmpl w:val="5FFC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8659450">
    <w:abstractNumId w:val="19"/>
  </w:num>
  <w:num w:numId="2" w16cid:durableId="2114813166">
    <w:abstractNumId w:val="2"/>
  </w:num>
  <w:num w:numId="3" w16cid:durableId="305354670">
    <w:abstractNumId w:val="5"/>
  </w:num>
  <w:num w:numId="4" w16cid:durableId="1911766195">
    <w:abstractNumId w:val="11"/>
  </w:num>
  <w:num w:numId="5" w16cid:durableId="1359046600">
    <w:abstractNumId w:val="12"/>
  </w:num>
  <w:num w:numId="6" w16cid:durableId="1398896320">
    <w:abstractNumId w:val="6"/>
  </w:num>
  <w:num w:numId="7" w16cid:durableId="271326176">
    <w:abstractNumId w:val="14"/>
  </w:num>
  <w:num w:numId="8" w16cid:durableId="754086974">
    <w:abstractNumId w:val="18"/>
  </w:num>
  <w:num w:numId="9" w16cid:durableId="52000117">
    <w:abstractNumId w:val="15"/>
  </w:num>
  <w:num w:numId="10" w16cid:durableId="2121946337">
    <w:abstractNumId w:val="20"/>
  </w:num>
  <w:num w:numId="11" w16cid:durableId="44642651">
    <w:abstractNumId w:val="1"/>
  </w:num>
  <w:num w:numId="12" w16cid:durableId="92014685">
    <w:abstractNumId w:val="3"/>
  </w:num>
  <w:num w:numId="13" w16cid:durableId="1506554607">
    <w:abstractNumId w:val="16"/>
  </w:num>
  <w:num w:numId="14" w16cid:durableId="612321132">
    <w:abstractNumId w:val="13"/>
  </w:num>
  <w:num w:numId="15" w16cid:durableId="1386181530">
    <w:abstractNumId w:val="21"/>
  </w:num>
  <w:num w:numId="16" w16cid:durableId="587229635">
    <w:abstractNumId w:val="8"/>
  </w:num>
  <w:num w:numId="17" w16cid:durableId="679746053">
    <w:abstractNumId w:val="0"/>
  </w:num>
  <w:num w:numId="18" w16cid:durableId="172455573">
    <w:abstractNumId w:val="7"/>
  </w:num>
  <w:num w:numId="19" w16cid:durableId="324474441">
    <w:abstractNumId w:val="4"/>
  </w:num>
  <w:num w:numId="20" w16cid:durableId="1079208685">
    <w:abstractNumId w:val="10"/>
  </w:num>
  <w:num w:numId="21" w16cid:durableId="427503561">
    <w:abstractNumId w:val="9"/>
  </w:num>
  <w:num w:numId="22" w16cid:durableId="14783780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1E5"/>
    <w:rsid w:val="000006BD"/>
    <w:rsid w:val="00002B1C"/>
    <w:rsid w:val="000044B6"/>
    <w:rsid w:val="00004FED"/>
    <w:rsid w:val="00011FCC"/>
    <w:rsid w:val="000169F6"/>
    <w:rsid w:val="00026070"/>
    <w:rsid w:val="000340D6"/>
    <w:rsid w:val="00056E63"/>
    <w:rsid w:val="00056F69"/>
    <w:rsid w:val="0006006B"/>
    <w:rsid w:val="0006103B"/>
    <w:rsid w:val="0006191C"/>
    <w:rsid w:val="0006254D"/>
    <w:rsid w:val="00062B3B"/>
    <w:rsid w:val="00063EE4"/>
    <w:rsid w:val="00065BDA"/>
    <w:rsid w:val="00077EBE"/>
    <w:rsid w:val="000806AB"/>
    <w:rsid w:val="0009216A"/>
    <w:rsid w:val="000A3477"/>
    <w:rsid w:val="000A3543"/>
    <w:rsid w:val="000A6D7D"/>
    <w:rsid w:val="000B287E"/>
    <w:rsid w:val="000B295B"/>
    <w:rsid w:val="000B3EDE"/>
    <w:rsid w:val="000C11CA"/>
    <w:rsid w:val="000C4C61"/>
    <w:rsid w:val="000C5320"/>
    <w:rsid w:val="000C5DBD"/>
    <w:rsid w:val="000D243F"/>
    <w:rsid w:val="000D3FFD"/>
    <w:rsid w:val="000D7C86"/>
    <w:rsid w:val="000E5168"/>
    <w:rsid w:val="000E5983"/>
    <w:rsid w:val="000E5E61"/>
    <w:rsid w:val="000E791A"/>
    <w:rsid w:val="000F3468"/>
    <w:rsid w:val="000F6203"/>
    <w:rsid w:val="000F69D9"/>
    <w:rsid w:val="00107BA6"/>
    <w:rsid w:val="00111DB2"/>
    <w:rsid w:val="00112430"/>
    <w:rsid w:val="00123683"/>
    <w:rsid w:val="00127BC3"/>
    <w:rsid w:val="0013408C"/>
    <w:rsid w:val="00136A77"/>
    <w:rsid w:val="00137DE8"/>
    <w:rsid w:val="001428F9"/>
    <w:rsid w:val="00143D00"/>
    <w:rsid w:val="001460EF"/>
    <w:rsid w:val="001502B4"/>
    <w:rsid w:val="001510E3"/>
    <w:rsid w:val="00152F31"/>
    <w:rsid w:val="00155A39"/>
    <w:rsid w:val="00160800"/>
    <w:rsid w:val="00164AC5"/>
    <w:rsid w:val="00170D14"/>
    <w:rsid w:val="00171781"/>
    <w:rsid w:val="001720BD"/>
    <w:rsid w:val="001730B7"/>
    <w:rsid w:val="001765B5"/>
    <w:rsid w:val="0018388F"/>
    <w:rsid w:val="00191F31"/>
    <w:rsid w:val="00193E4A"/>
    <w:rsid w:val="001B19A5"/>
    <w:rsid w:val="001B492D"/>
    <w:rsid w:val="001B5ACE"/>
    <w:rsid w:val="001B6F4D"/>
    <w:rsid w:val="001C094A"/>
    <w:rsid w:val="001C6685"/>
    <w:rsid w:val="001D1F56"/>
    <w:rsid w:val="001D46F7"/>
    <w:rsid w:val="001D5AF6"/>
    <w:rsid w:val="001D6F80"/>
    <w:rsid w:val="001E681B"/>
    <w:rsid w:val="001F0742"/>
    <w:rsid w:val="002020B9"/>
    <w:rsid w:val="0020749C"/>
    <w:rsid w:val="002112B8"/>
    <w:rsid w:val="00212BFD"/>
    <w:rsid w:val="00215EC5"/>
    <w:rsid w:val="00222AA4"/>
    <w:rsid w:val="00225783"/>
    <w:rsid w:val="0022703C"/>
    <w:rsid w:val="0023215C"/>
    <w:rsid w:val="002354CB"/>
    <w:rsid w:val="00240C67"/>
    <w:rsid w:val="00244A48"/>
    <w:rsid w:val="00246A14"/>
    <w:rsid w:val="00251568"/>
    <w:rsid w:val="00252B63"/>
    <w:rsid w:val="00262D7B"/>
    <w:rsid w:val="00263478"/>
    <w:rsid w:val="00263C66"/>
    <w:rsid w:val="002677F5"/>
    <w:rsid w:val="00270E47"/>
    <w:rsid w:val="002768FE"/>
    <w:rsid w:val="00280575"/>
    <w:rsid w:val="00282E24"/>
    <w:rsid w:val="00290482"/>
    <w:rsid w:val="00291475"/>
    <w:rsid w:val="0029173A"/>
    <w:rsid w:val="00297123"/>
    <w:rsid w:val="002A1FDA"/>
    <w:rsid w:val="002A233E"/>
    <w:rsid w:val="002A3599"/>
    <w:rsid w:val="002B0960"/>
    <w:rsid w:val="002B3FE8"/>
    <w:rsid w:val="002B5F3D"/>
    <w:rsid w:val="002B7AF2"/>
    <w:rsid w:val="002D33D8"/>
    <w:rsid w:val="002D4C36"/>
    <w:rsid w:val="002D646B"/>
    <w:rsid w:val="002E0429"/>
    <w:rsid w:val="002E162F"/>
    <w:rsid w:val="002E19B9"/>
    <w:rsid w:val="002E5DA7"/>
    <w:rsid w:val="002E7B65"/>
    <w:rsid w:val="002F3A74"/>
    <w:rsid w:val="002F3D87"/>
    <w:rsid w:val="002F5369"/>
    <w:rsid w:val="002F6916"/>
    <w:rsid w:val="00300B93"/>
    <w:rsid w:val="00307601"/>
    <w:rsid w:val="00312A27"/>
    <w:rsid w:val="00314F17"/>
    <w:rsid w:val="003157D0"/>
    <w:rsid w:val="003157D8"/>
    <w:rsid w:val="00320E87"/>
    <w:rsid w:val="003308F7"/>
    <w:rsid w:val="003328A3"/>
    <w:rsid w:val="00334A7A"/>
    <w:rsid w:val="0033559B"/>
    <w:rsid w:val="00353613"/>
    <w:rsid w:val="0036298B"/>
    <w:rsid w:val="00365EA8"/>
    <w:rsid w:val="00366741"/>
    <w:rsid w:val="00371945"/>
    <w:rsid w:val="00372601"/>
    <w:rsid w:val="003824C1"/>
    <w:rsid w:val="00387B93"/>
    <w:rsid w:val="00391A9F"/>
    <w:rsid w:val="003925DB"/>
    <w:rsid w:val="003945A2"/>
    <w:rsid w:val="00395948"/>
    <w:rsid w:val="003A0EA5"/>
    <w:rsid w:val="003A34D5"/>
    <w:rsid w:val="003A7CC7"/>
    <w:rsid w:val="003A7EBC"/>
    <w:rsid w:val="003B4E98"/>
    <w:rsid w:val="003B50E6"/>
    <w:rsid w:val="003B5510"/>
    <w:rsid w:val="003B5AB1"/>
    <w:rsid w:val="003B5E83"/>
    <w:rsid w:val="003B6523"/>
    <w:rsid w:val="003C1C12"/>
    <w:rsid w:val="003C4D67"/>
    <w:rsid w:val="003C5C5A"/>
    <w:rsid w:val="003C6A13"/>
    <w:rsid w:val="003C7A4F"/>
    <w:rsid w:val="003D16DE"/>
    <w:rsid w:val="003E1CE6"/>
    <w:rsid w:val="003E4BB2"/>
    <w:rsid w:val="003E64CD"/>
    <w:rsid w:val="003F31E5"/>
    <w:rsid w:val="003F76B3"/>
    <w:rsid w:val="004044FE"/>
    <w:rsid w:val="00410C3A"/>
    <w:rsid w:val="00410D15"/>
    <w:rsid w:val="0041392A"/>
    <w:rsid w:val="004139B6"/>
    <w:rsid w:val="004146AF"/>
    <w:rsid w:val="00415CCA"/>
    <w:rsid w:val="00420590"/>
    <w:rsid w:val="00420B76"/>
    <w:rsid w:val="00421B18"/>
    <w:rsid w:val="00422CB4"/>
    <w:rsid w:val="00426962"/>
    <w:rsid w:val="0043317C"/>
    <w:rsid w:val="0043567E"/>
    <w:rsid w:val="00435CE4"/>
    <w:rsid w:val="0045052C"/>
    <w:rsid w:val="00453256"/>
    <w:rsid w:val="0045731A"/>
    <w:rsid w:val="00460F85"/>
    <w:rsid w:val="00461E10"/>
    <w:rsid w:val="00462870"/>
    <w:rsid w:val="00464B80"/>
    <w:rsid w:val="00474A70"/>
    <w:rsid w:val="00475603"/>
    <w:rsid w:val="00476317"/>
    <w:rsid w:val="004766C2"/>
    <w:rsid w:val="00476E9A"/>
    <w:rsid w:val="00483B84"/>
    <w:rsid w:val="0048480E"/>
    <w:rsid w:val="0048767A"/>
    <w:rsid w:val="00495BE0"/>
    <w:rsid w:val="004A5F38"/>
    <w:rsid w:val="004C305A"/>
    <w:rsid w:val="004C776A"/>
    <w:rsid w:val="004D07CA"/>
    <w:rsid w:val="004D2CAD"/>
    <w:rsid w:val="004D3845"/>
    <w:rsid w:val="004D4E28"/>
    <w:rsid w:val="004D5341"/>
    <w:rsid w:val="004E4267"/>
    <w:rsid w:val="004E46E3"/>
    <w:rsid w:val="004E63D3"/>
    <w:rsid w:val="004F2052"/>
    <w:rsid w:val="004F28DB"/>
    <w:rsid w:val="004F3C76"/>
    <w:rsid w:val="004F4895"/>
    <w:rsid w:val="00514EC7"/>
    <w:rsid w:val="0052509E"/>
    <w:rsid w:val="0053052A"/>
    <w:rsid w:val="00531F43"/>
    <w:rsid w:val="00540E8A"/>
    <w:rsid w:val="005444C6"/>
    <w:rsid w:val="00545825"/>
    <w:rsid w:val="00546519"/>
    <w:rsid w:val="005506B7"/>
    <w:rsid w:val="00551AB4"/>
    <w:rsid w:val="00556C72"/>
    <w:rsid w:val="005575F8"/>
    <w:rsid w:val="00562B21"/>
    <w:rsid w:val="00564DF3"/>
    <w:rsid w:val="0056724B"/>
    <w:rsid w:val="00571A99"/>
    <w:rsid w:val="00571D20"/>
    <w:rsid w:val="00585322"/>
    <w:rsid w:val="00590C04"/>
    <w:rsid w:val="00591617"/>
    <w:rsid w:val="00594CA2"/>
    <w:rsid w:val="0059524A"/>
    <w:rsid w:val="00595C01"/>
    <w:rsid w:val="005A1CD1"/>
    <w:rsid w:val="005A29D9"/>
    <w:rsid w:val="005A2C3D"/>
    <w:rsid w:val="005B36AD"/>
    <w:rsid w:val="005C05D6"/>
    <w:rsid w:val="005C3485"/>
    <w:rsid w:val="005C6224"/>
    <w:rsid w:val="005D03BE"/>
    <w:rsid w:val="005D1FB8"/>
    <w:rsid w:val="005D4169"/>
    <w:rsid w:val="005D71E9"/>
    <w:rsid w:val="005D7EFD"/>
    <w:rsid w:val="005E00C1"/>
    <w:rsid w:val="005E5245"/>
    <w:rsid w:val="005E720E"/>
    <w:rsid w:val="005F65C6"/>
    <w:rsid w:val="0060546E"/>
    <w:rsid w:val="006108D7"/>
    <w:rsid w:val="0061272E"/>
    <w:rsid w:val="00617F58"/>
    <w:rsid w:val="00625155"/>
    <w:rsid w:val="00627722"/>
    <w:rsid w:val="00630F26"/>
    <w:rsid w:val="00631475"/>
    <w:rsid w:val="00631676"/>
    <w:rsid w:val="00631AB4"/>
    <w:rsid w:val="00635BE7"/>
    <w:rsid w:val="00641805"/>
    <w:rsid w:val="006520C0"/>
    <w:rsid w:val="00654249"/>
    <w:rsid w:val="0065432B"/>
    <w:rsid w:val="00654881"/>
    <w:rsid w:val="006668D7"/>
    <w:rsid w:val="00670E3C"/>
    <w:rsid w:val="00680039"/>
    <w:rsid w:val="0069242A"/>
    <w:rsid w:val="0069334A"/>
    <w:rsid w:val="006933EC"/>
    <w:rsid w:val="00697264"/>
    <w:rsid w:val="006A248F"/>
    <w:rsid w:val="006A45E7"/>
    <w:rsid w:val="006B2482"/>
    <w:rsid w:val="006B5AA3"/>
    <w:rsid w:val="006C4805"/>
    <w:rsid w:val="006C6A4A"/>
    <w:rsid w:val="006D0332"/>
    <w:rsid w:val="006D0CC3"/>
    <w:rsid w:val="006D57E6"/>
    <w:rsid w:val="006D5978"/>
    <w:rsid w:val="006D6A40"/>
    <w:rsid w:val="006E4FCA"/>
    <w:rsid w:val="006E681B"/>
    <w:rsid w:val="006F040C"/>
    <w:rsid w:val="006F415A"/>
    <w:rsid w:val="0070385D"/>
    <w:rsid w:val="0070504A"/>
    <w:rsid w:val="00713BDA"/>
    <w:rsid w:val="007153F0"/>
    <w:rsid w:val="0072038B"/>
    <w:rsid w:val="00721EBB"/>
    <w:rsid w:val="00724263"/>
    <w:rsid w:val="007244DD"/>
    <w:rsid w:val="007305C2"/>
    <w:rsid w:val="0073064A"/>
    <w:rsid w:val="00746E96"/>
    <w:rsid w:val="00750E05"/>
    <w:rsid w:val="007523E3"/>
    <w:rsid w:val="007528C0"/>
    <w:rsid w:val="00752A50"/>
    <w:rsid w:val="007536F8"/>
    <w:rsid w:val="007575CA"/>
    <w:rsid w:val="00762535"/>
    <w:rsid w:val="00764149"/>
    <w:rsid w:val="00767EB9"/>
    <w:rsid w:val="0077159D"/>
    <w:rsid w:val="007729ED"/>
    <w:rsid w:val="0077346E"/>
    <w:rsid w:val="007803A1"/>
    <w:rsid w:val="0078363E"/>
    <w:rsid w:val="0078621F"/>
    <w:rsid w:val="00796B2A"/>
    <w:rsid w:val="007A71E1"/>
    <w:rsid w:val="007A74C8"/>
    <w:rsid w:val="007C42EC"/>
    <w:rsid w:val="007C6D87"/>
    <w:rsid w:val="007C76AF"/>
    <w:rsid w:val="007D0663"/>
    <w:rsid w:val="007D63F2"/>
    <w:rsid w:val="007D65A0"/>
    <w:rsid w:val="007E3AAB"/>
    <w:rsid w:val="007F0556"/>
    <w:rsid w:val="007F09E3"/>
    <w:rsid w:val="007F5274"/>
    <w:rsid w:val="007F601C"/>
    <w:rsid w:val="00800394"/>
    <w:rsid w:val="0080126E"/>
    <w:rsid w:val="00805E8A"/>
    <w:rsid w:val="00807F91"/>
    <w:rsid w:val="0081270D"/>
    <w:rsid w:val="00817128"/>
    <w:rsid w:val="008202FC"/>
    <w:rsid w:val="00822B9E"/>
    <w:rsid w:val="0083019A"/>
    <w:rsid w:val="00830777"/>
    <w:rsid w:val="0083385F"/>
    <w:rsid w:val="00841531"/>
    <w:rsid w:val="00842291"/>
    <w:rsid w:val="008442C1"/>
    <w:rsid w:val="0084664D"/>
    <w:rsid w:val="0084680E"/>
    <w:rsid w:val="00852BE6"/>
    <w:rsid w:val="008560C8"/>
    <w:rsid w:val="00856CA0"/>
    <w:rsid w:val="008607AF"/>
    <w:rsid w:val="0086696C"/>
    <w:rsid w:val="008752D1"/>
    <w:rsid w:val="00876EA8"/>
    <w:rsid w:val="00880C23"/>
    <w:rsid w:val="0088202B"/>
    <w:rsid w:val="00887510"/>
    <w:rsid w:val="00894882"/>
    <w:rsid w:val="008A1518"/>
    <w:rsid w:val="008A598B"/>
    <w:rsid w:val="008B5262"/>
    <w:rsid w:val="008B66C9"/>
    <w:rsid w:val="008B788A"/>
    <w:rsid w:val="008C08D5"/>
    <w:rsid w:val="008C1E69"/>
    <w:rsid w:val="008C2075"/>
    <w:rsid w:val="008C3970"/>
    <w:rsid w:val="008D01EE"/>
    <w:rsid w:val="008D0C55"/>
    <w:rsid w:val="008D38A5"/>
    <w:rsid w:val="008D666E"/>
    <w:rsid w:val="008D6EA9"/>
    <w:rsid w:val="008D793A"/>
    <w:rsid w:val="008E63A7"/>
    <w:rsid w:val="008F1375"/>
    <w:rsid w:val="008F5F16"/>
    <w:rsid w:val="008F750D"/>
    <w:rsid w:val="00902C9B"/>
    <w:rsid w:val="00903689"/>
    <w:rsid w:val="00915432"/>
    <w:rsid w:val="00920C86"/>
    <w:rsid w:val="00920CB5"/>
    <w:rsid w:val="00923414"/>
    <w:rsid w:val="00925077"/>
    <w:rsid w:val="00925BB7"/>
    <w:rsid w:val="00933915"/>
    <w:rsid w:val="00934FAE"/>
    <w:rsid w:val="00936258"/>
    <w:rsid w:val="00937F45"/>
    <w:rsid w:val="00945DBC"/>
    <w:rsid w:val="00947B12"/>
    <w:rsid w:val="00950C57"/>
    <w:rsid w:val="00957333"/>
    <w:rsid w:val="00964B6C"/>
    <w:rsid w:val="00965469"/>
    <w:rsid w:val="0096749A"/>
    <w:rsid w:val="00967705"/>
    <w:rsid w:val="0097244E"/>
    <w:rsid w:val="009739CB"/>
    <w:rsid w:val="00977A8A"/>
    <w:rsid w:val="00977F70"/>
    <w:rsid w:val="00983CD1"/>
    <w:rsid w:val="00994147"/>
    <w:rsid w:val="009946BA"/>
    <w:rsid w:val="009A178C"/>
    <w:rsid w:val="009A1944"/>
    <w:rsid w:val="009A1D55"/>
    <w:rsid w:val="009A4820"/>
    <w:rsid w:val="009B1662"/>
    <w:rsid w:val="009B1DCF"/>
    <w:rsid w:val="009B3743"/>
    <w:rsid w:val="009B5913"/>
    <w:rsid w:val="009C11E3"/>
    <w:rsid w:val="009C4ACF"/>
    <w:rsid w:val="009C6A73"/>
    <w:rsid w:val="009D544F"/>
    <w:rsid w:val="009D6B35"/>
    <w:rsid w:val="009E2A4F"/>
    <w:rsid w:val="009E370A"/>
    <w:rsid w:val="009F4955"/>
    <w:rsid w:val="009F5A82"/>
    <w:rsid w:val="00A02F57"/>
    <w:rsid w:val="00A07EAA"/>
    <w:rsid w:val="00A10003"/>
    <w:rsid w:val="00A126E4"/>
    <w:rsid w:val="00A14A36"/>
    <w:rsid w:val="00A21EC7"/>
    <w:rsid w:val="00A2681D"/>
    <w:rsid w:val="00A27845"/>
    <w:rsid w:val="00A27992"/>
    <w:rsid w:val="00A31614"/>
    <w:rsid w:val="00A337EC"/>
    <w:rsid w:val="00A35B73"/>
    <w:rsid w:val="00A35CD9"/>
    <w:rsid w:val="00A373B3"/>
    <w:rsid w:val="00A40E9A"/>
    <w:rsid w:val="00A52A62"/>
    <w:rsid w:val="00A6052F"/>
    <w:rsid w:val="00A61889"/>
    <w:rsid w:val="00A6502D"/>
    <w:rsid w:val="00A70324"/>
    <w:rsid w:val="00A722C8"/>
    <w:rsid w:val="00A81673"/>
    <w:rsid w:val="00A82C21"/>
    <w:rsid w:val="00A927DC"/>
    <w:rsid w:val="00A93325"/>
    <w:rsid w:val="00A9517E"/>
    <w:rsid w:val="00AA008B"/>
    <w:rsid w:val="00AA150D"/>
    <w:rsid w:val="00AA3398"/>
    <w:rsid w:val="00AB1F3C"/>
    <w:rsid w:val="00AB64FE"/>
    <w:rsid w:val="00AD033C"/>
    <w:rsid w:val="00AD2CC1"/>
    <w:rsid w:val="00AD4848"/>
    <w:rsid w:val="00AD54FD"/>
    <w:rsid w:val="00AD5F2F"/>
    <w:rsid w:val="00AE243B"/>
    <w:rsid w:val="00AE71C4"/>
    <w:rsid w:val="00AE76B9"/>
    <w:rsid w:val="00AE7EA1"/>
    <w:rsid w:val="00AF1FC2"/>
    <w:rsid w:val="00AF2357"/>
    <w:rsid w:val="00AF4905"/>
    <w:rsid w:val="00B03562"/>
    <w:rsid w:val="00B1112D"/>
    <w:rsid w:val="00B12C79"/>
    <w:rsid w:val="00B1379D"/>
    <w:rsid w:val="00B14B0C"/>
    <w:rsid w:val="00B16376"/>
    <w:rsid w:val="00B1656B"/>
    <w:rsid w:val="00B226F0"/>
    <w:rsid w:val="00B26731"/>
    <w:rsid w:val="00B275D9"/>
    <w:rsid w:val="00B33905"/>
    <w:rsid w:val="00B33A03"/>
    <w:rsid w:val="00B3407B"/>
    <w:rsid w:val="00B35183"/>
    <w:rsid w:val="00B435E9"/>
    <w:rsid w:val="00B43BA7"/>
    <w:rsid w:val="00B47FBA"/>
    <w:rsid w:val="00B62CFF"/>
    <w:rsid w:val="00B63E7C"/>
    <w:rsid w:val="00B7010C"/>
    <w:rsid w:val="00B718BF"/>
    <w:rsid w:val="00B74EDF"/>
    <w:rsid w:val="00B80086"/>
    <w:rsid w:val="00B80508"/>
    <w:rsid w:val="00B80555"/>
    <w:rsid w:val="00B83A48"/>
    <w:rsid w:val="00B864DF"/>
    <w:rsid w:val="00B86B40"/>
    <w:rsid w:val="00B9477B"/>
    <w:rsid w:val="00B95AC0"/>
    <w:rsid w:val="00B9765F"/>
    <w:rsid w:val="00BA0F91"/>
    <w:rsid w:val="00BB0A73"/>
    <w:rsid w:val="00BC392B"/>
    <w:rsid w:val="00BC4414"/>
    <w:rsid w:val="00BC7A12"/>
    <w:rsid w:val="00BD0551"/>
    <w:rsid w:val="00BD1068"/>
    <w:rsid w:val="00BD390A"/>
    <w:rsid w:val="00BD4126"/>
    <w:rsid w:val="00BD413C"/>
    <w:rsid w:val="00BE0E1F"/>
    <w:rsid w:val="00BE1071"/>
    <w:rsid w:val="00BE1B65"/>
    <w:rsid w:val="00BE2745"/>
    <w:rsid w:val="00BE3053"/>
    <w:rsid w:val="00BF71B7"/>
    <w:rsid w:val="00BF7CC9"/>
    <w:rsid w:val="00C144B7"/>
    <w:rsid w:val="00C22143"/>
    <w:rsid w:val="00C27B89"/>
    <w:rsid w:val="00C3023B"/>
    <w:rsid w:val="00C35E03"/>
    <w:rsid w:val="00C40CC0"/>
    <w:rsid w:val="00C42A5C"/>
    <w:rsid w:val="00C44883"/>
    <w:rsid w:val="00C4720A"/>
    <w:rsid w:val="00C52F13"/>
    <w:rsid w:val="00C55AEE"/>
    <w:rsid w:val="00C569AE"/>
    <w:rsid w:val="00C625E2"/>
    <w:rsid w:val="00C645D4"/>
    <w:rsid w:val="00C7240B"/>
    <w:rsid w:val="00C75B3F"/>
    <w:rsid w:val="00C817BB"/>
    <w:rsid w:val="00C82E45"/>
    <w:rsid w:val="00C8458C"/>
    <w:rsid w:val="00C9118B"/>
    <w:rsid w:val="00C92204"/>
    <w:rsid w:val="00C92750"/>
    <w:rsid w:val="00C92D87"/>
    <w:rsid w:val="00C96EE4"/>
    <w:rsid w:val="00CA484D"/>
    <w:rsid w:val="00CA5D0A"/>
    <w:rsid w:val="00CB05C3"/>
    <w:rsid w:val="00CB1281"/>
    <w:rsid w:val="00CB2B15"/>
    <w:rsid w:val="00CB3076"/>
    <w:rsid w:val="00CB5A7B"/>
    <w:rsid w:val="00CC0F3E"/>
    <w:rsid w:val="00CC47DF"/>
    <w:rsid w:val="00CC4889"/>
    <w:rsid w:val="00CD44DD"/>
    <w:rsid w:val="00CD6A23"/>
    <w:rsid w:val="00CD73D1"/>
    <w:rsid w:val="00CE0106"/>
    <w:rsid w:val="00CE7595"/>
    <w:rsid w:val="00CF33A0"/>
    <w:rsid w:val="00CF3C6A"/>
    <w:rsid w:val="00D04024"/>
    <w:rsid w:val="00D22629"/>
    <w:rsid w:val="00D34A56"/>
    <w:rsid w:val="00D378B2"/>
    <w:rsid w:val="00D5452C"/>
    <w:rsid w:val="00D57096"/>
    <w:rsid w:val="00D72D41"/>
    <w:rsid w:val="00D8054F"/>
    <w:rsid w:val="00D8701E"/>
    <w:rsid w:val="00D9348D"/>
    <w:rsid w:val="00DA0F5E"/>
    <w:rsid w:val="00DA113C"/>
    <w:rsid w:val="00DA12EB"/>
    <w:rsid w:val="00DA398A"/>
    <w:rsid w:val="00DA3A76"/>
    <w:rsid w:val="00DA5159"/>
    <w:rsid w:val="00DB1B3F"/>
    <w:rsid w:val="00DB32F6"/>
    <w:rsid w:val="00DC22C1"/>
    <w:rsid w:val="00DC6956"/>
    <w:rsid w:val="00DF4FD8"/>
    <w:rsid w:val="00DF6D0A"/>
    <w:rsid w:val="00E06482"/>
    <w:rsid w:val="00E07579"/>
    <w:rsid w:val="00E15CDF"/>
    <w:rsid w:val="00E21A2B"/>
    <w:rsid w:val="00E21A31"/>
    <w:rsid w:val="00E21F8F"/>
    <w:rsid w:val="00E30211"/>
    <w:rsid w:val="00E318B1"/>
    <w:rsid w:val="00E33EFA"/>
    <w:rsid w:val="00E423F1"/>
    <w:rsid w:val="00E42E17"/>
    <w:rsid w:val="00E438A5"/>
    <w:rsid w:val="00E44410"/>
    <w:rsid w:val="00E46D03"/>
    <w:rsid w:val="00E527F3"/>
    <w:rsid w:val="00E54625"/>
    <w:rsid w:val="00E54CA6"/>
    <w:rsid w:val="00E54F85"/>
    <w:rsid w:val="00E55447"/>
    <w:rsid w:val="00E603F0"/>
    <w:rsid w:val="00E61B52"/>
    <w:rsid w:val="00E6367D"/>
    <w:rsid w:val="00E70C9E"/>
    <w:rsid w:val="00E71C93"/>
    <w:rsid w:val="00E72686"/>
    <w:rsid w:val="00E76DC0"/>
    <w:rsid w:val="00E80339"/>
    <w:rsid w:val="00E80AA1"/>
    <w:rsid w:val="00E85658"/>
    <w:rsid w:val="00E90190"/>
    <w:rsid w:val="00E919B3"/>
    <w:rsid w:val="00E9691B"/>
    <w:rsid w:val="00EA26BA"/>
    <w:rsid w:val="00EA5E9F"/>
    <w:rsid w:val="00EA74B7"/>
    <w:rsid w:val="00EB0AD7"/>
    <w:rsid w:val="00EB1588"/>
    <w:rsid w:val="00EB182D"/>
    <w:rsid w:val="00EB248F"/>
    <w:rsid w:val="00EC637E"/>
    <w:rsid w:val="00EC6BE8"/>
    <w:rsid w:val="00EC7CF9"/>
    <w:rsid w:val="00ED3DA6"/>
    <w:rsid w:val="00EE0EDC"/>
    <w:rsid w:val="00EE128B"/>
    <w:rsid w:val="00EE1BD3"/>
    <w:rsid w:val="00EE318A"/>
    <w:rsid w:val="00EE37F4"/>
    <w:rsid w:val="00EE3CCF"/>
    <w:rsid w:val="00EF2396"/>
    <w:rsid w:val="00EF3C26"/>
    <w:rsid w:val="00EF45B3"/>
    <w:rsid w:val="00F04ECE"/>
    <w:rsid w:val="00F06D46"/>
    <w:rsid w:val="00F111DC"/>
    <w:rsid w:val="00F11B80"/>
    <w:rsid w:val="00F16B80"/>
    <w:rsid w:val="00F2111C"/>
    <w:rsid w:val="00F24817"/>
    <w:rsid w:val="00F24DB5"/>
    <w:rsid w:val="00F24E57"/>
    <w:rsid w:val="00F2781C"/>
    <w:rsid w:val="00F30517"/>
    <w:rsid w:val="00F3273F"/>
    <w:rsid w:val="00F3437D"/>
    <w:rsid w:val="00F400EF"/>
    <w:rsid w:val="00F428A6"/>
    <w:rsid w:val="00F46565"/>
    <w:rsid w:val="00F47199"/>
    <w:rsid w:val="00F53CA8"/>
    <w:rsid w:val="00F63775"/>
    <w:rsid w:val="00F657D8"/>
    <w:rsid w:val="00F67441"/>
    <w:rsid w:val="00F70BFF"/>
    <w:rsid w:val="00F75AA6"/>
    <w:rsid w:val="00F77ACD"/>
    <w:rsid w:val="00F77F69"/>
    <w:rsid w:val="00F83B49"/>
    <w:rsid w:val="00F91696"/>
    <w:rsid w:val="00F94599"/>
    <w:rsid w:val="00F96995"/>
    <w:rsid w:val="00FA1BE8"/>
    <w:rsid w:val="00FA5EA3"/>
    <w:rsid w:val="00FA6F60"/>
    <w:rsid w:val="00FB1BF6"/>
    <w:rsid w:val="00FC07B1"/>
    <w:rsid w:val="00FC7C60"/>
    <w:rsid w:val="00FD016B"/>
    <w:rsid w:val="00FD042A"/>
    <w:rsid w:val="00FD37AF"/>
    <w:rsid w:val="00FD6284"/>
    <w:rsid w:val="00FE2D94"/>
    <w:rsid w:val="00FE44BA"/>
    <w:rsid w:val="00FE5F69"/>
    <w:rsid w:val="00FF230F"/>
    <w:rsid w:val="00FF4E8F"/>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70FD3"/>
  <w15:chartTrackingRefBased/>
  <w15:docId w15:val="{9F2FC37C-FB5B-41DE-8FCA-F5018048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5A0"/>
    <w:pPr>
      <w:spacing w:before="120" w:after="120" w:line="360" w:lineRule="auto"/>
      <w:jc w:val="both"/>
    </w:pPr>
    <w:rPr>
      <w:rFonts w:ascii="Times New Roman" w:hAnsi="Times New Roman" w:cs="Calibri"/>
      <w:color w:val="000000" w:themeColor="text1"/>
      <w:kern w:val="0"/>
      <w:sz w:val="22"/>
      <w:szCs w:val="22"/>
      <w:lang w:val="es-ES" w:eastAsia="es-ES"/>
      <w14:ligatures w14:val="none"/>
    </w:rPr>
  </w:style>
  <w:style w:type="paragraph" w:styleId="Ttulo1">
    <w:name w:val="heading 1"/>
    <w:basedOn w:val="Normal"/>
    <w:next w:val="Normal"/>
    <w:link w:val="Ttulo1Car"/>
    <w:autoRedefine/>
    <w:uiPriority w:val="9"/>
    <w:qFormat/>
    <w:rsid w:val="00FB1BF6"/>
    <w:pPr>
      <w:keepNext/>
      <w:keepLines/>
      <w:numPr>
        <w:numId w:val="9"/>
      </w:numPr>
      <w:shd w:val="clear" w:color="auto" w:fill="FFFFFF"/>
      <w:spacing w:before="0" w:after="160" w:line="278" w:lineRule="auto"/>
      <w:ind w:left="431" w:hanging="431"/>
      <w:jc w:val="left"/>
      <w:outlineLvl w:val="0"/>
    </w:pPr>
    <w:rPr>
      <w:rFonts w:eastAsiaTheme="majorEastAsia" w:cs="Tahoma"/>
      <w:b/>
      <w:color w:val="262626"/>
      <w:sz w:val="28"/>
      <w:szCs w:val="40"/>
      <w:lang w:val="es-MX"/>
    </w:rPr>
  </w:style>
  <w:style w:type="paragraph" w:styleId="Ttulo2">
    <w:name w:val="heading 2"/>
    <w:basedOn w:val="Normal"/>
    <w:next w:val="Normal"/>
    <w:link w:val="Ttulo2Car"/>
    <w:uiPriority w:val="9"/>
    <w:unhideWhenUsed/>
    <w:qFormat/>
    <w:rsid w:val="009B1DCF"/>
    <w:pPr>
      <w:keepNext/>
      <w:keepLines/>
      <w:numPr>
        <w:ilvl w:val="1"/>
        <w:numId w:val="9"/>
      </w:numPr>
      <w:spacing w:before="160" w:after="80"/>
      <w:ind w:left="578" w:hanging="578"/>
      <w:jc w:val="left"/>
      <w:outlineLvl w:val="1"/>
    </w:pPr>
    <w:rPr>
      <w:rFonts w:eastAsiaTheme="majorEastAsia" w:cstheme="majorBidi"/>
      <w:b/>
      <w:color w:val="0E2841" w:themeColor="text2"/>
      <w:sz w:val="24"/>
      <w:szCs w:val="32"/>
    </w:rPr>
  </w:style>
  <w:style w:type="paragraph" w:styleId="Ttulo3">
    <w:name w:val="heading 3"/>
    <w:basedOn w:val="Normal"/>
    <w:next w:val="Normal"/>
    <w:link w:val="Ttulo3Car"/>
    <w:uiPriority w:val="9"/>
    <w:unhideWhenUsed/>
    <w:qFormat/>
    <w:rsid w:val="00270E47"/>
    <w:pPr>
      <w:keepNext/>
      <w:keepLines/>
      <w:numPr>
        <w:ilvl w:val="2"/>
        <w:numId w:val="9"/>
      </w:numPr>
      <w:spacing w:before="160" w:after="80"/>
      <w:outlineLvl w:val="2"/>
    </w:pPr>
    <w:rPr>
      <w:rFonts w:eastAsiaTheme="majorEastAsia" w:cstheme="majorBidi"/>
      <w:b/>
      <w:color w:val="156082" w:themeColor="accent1"/>
      <w:szCs w:val="28"/>
    </w:rPr>
  </w:style>
  <w:style w:type="paragraph" w:styleId="Ttulo4">
    <w:name w:val="heading 4"/>
    <w:basedOn w:val="Normal"/>
    <w:next w:val="Normal"/>
    <w:link w:val="Ttulo4Car"/>
    <w:uiPriority w:val="9"/>
    <w:unhideWhenUsed/>
    <w:qFormat/>
    <w:rsid w:val="003F31E5"/>
    <w:pPr>
      <w:keepNext/>
      <w:keepLines/>
      <w:numPr>
        <w:ilvl w:val="3"/>
        <w:numId w:val="9"/>
      </w:numPr>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3F31E5"/>
    <w:pPr>
      <w:keepNext/>
      <w:keepLines/>
      <w:numPr>
        <w:ilvl w:val="4"/>
        <w:numId w:val="9"/>
      </w:numPr>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3F31E5"/>
    <w:pPr>
      <w:keepNext/>
      <w:keepLines/>
      <w:numPr>
        <w:ilvl w:val="5"/>
        <w:numId w:val="9"/>
      </w:numPr>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3F31E5"/>
    <w:pPr>
      <w:keepNext/>
      <w:keepLines/>
      <w:numPr>
        <w:ilvl w:val="6"/>
        <w:numId w:val="9"/>
      </w:numPr>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3F31E5"/>
    <w:pPr>
      <w:keepNext/>
      <w:keepLines/>
      <w:numPr>
        <w:ilvl w:val="7"/>
        <w:numId w:val="9"/>
      </w:numPr>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3F31E5"/>
    <w:pPr>
      <w:keepNext/>
      <w:keepLines/>
      <w:numPr>
        <w:ilvl w:val="8"/>
        <w:numId w:val="9"/>
      </w:numPr>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1BF6"/>
    <w:rPr>
      <w:rFonts w:ascii="Times New Roman" w:eastAsiaTheme="majorEastAsia" w:hAnsi="Times New Roman" w:cs="Tahoma"/>
      <w:b/>
      <w:color w:val="262626"/>
      <w:kern w:val="0"/>
      <w:sz w:val="28"/>
      <w:szCs w:val="40"/>
      <w:shd w:val="clear" w:color="auto" w:fill="FFFFFF"/>
      <w:lang w:eastAsia="es-ES"/>
      <w14:ligatures w14:val="none"/>
    </w:rPr>
  </w:style>
  <w:style w:type="character" w:customStyle="1" w:styleId="Ttulo2Car">
    <w:name w:val="Título 2 Car"/>
    <w:basedOn w:val="Fuentedeprrafopredeter"/>
    <w:link w:val="Ttulo2"/>
    <w:uiPriority w:val="9"/>
    <w:rsid w:val="009B1DCF"/>
    <w:rPr>
      <w:rFonts w:ascii="Times New Roman" w:eastAsiaTheme="majorEastAsia" w:hAnsi="Times New Roman" w:cstheme="majorBidi"/>
      <w:b/>
      <w:color w:val="0E2841" w:themeColor="text2"/>
      <w:kern w:val="0"/>
      <w:szCs w:val="32"/>
      <w:lang w:val="es-ES" w:eastAsia="es-ES"/>
      <w14:ligatures w14:val="none"/>
    </w:rPr>
  </w:style>
  <w:style w:type="character" w:customStyle="1" w:styleId="Ttulo3Car">
    <w:name w:val="Título 3 Car"/>
    <w:basedOn w:val="Fuentedeprrafopredeter"/>
    <w:link w:val="Ttulo3"/>
    <w:uiPriority w:val="9"/>
    <w:rsid w:val="00270E47"/>
    <w:rPr>
      <w:rFonts w:ascii="Times New Roman" w:eastAsiaTheme="majorEastAsia" w:hAnsi="Times New Roman" w:cstheme="majorBidi"/>
      <w:b/>
      <w:color w:val="156082" w:themeColor="accent1"/>
      <w:kern w:val="0"/>
      <w:sz w:val="22"/>
      <w:szCs w:val="28"/>
      <w:lang w:val="es-ES" w:eastAsia="es-ES"/>
      <w14:ligatures w14:val="none"/>
    </w:rPr>
  </w:style>
  <w:style w:type="character" w:customStyle="1" w:styleId="Ttulo4Car">
    <w:name w:val="Título 4 Car"/>
    <w:basedOn w:val="Fuentedeprrafopredeter"/>
    <w:link w:val="Ttulo4"/>
    <w:uiPriority w:val="9"/>
    <w:rsid w:val="003F31E5"/>
    <w:rPr>
      <w:rFonts w:eastAsiaTheme="majorEastAsia" w:cstheme="majorBidi"/>
      <w:i/>
      <w:iCs/>
      <w:color w:val="0F4761" w:themeColor="accent1" w:themeShade="BF"/>
      <w:kern w:val="0"/>
      <w:sz w:val="22"/>
      <w:szCs w:val="22"/>
      <w:lang w:val="es-ES" w:eastAsia="es-ES"/>
      <w14:ligatures w14:val="none"/>
    </w:rPr>
  </w:style>
  <w:style w:type="character" w:customStyle="1" w:styleId="Ttulo5Car">
    <w:name w:val="Título 5 Car"/>
    <w:basedOn w:val="Fuentedeprrafopredeter"/>
    <w:link w:val="Ttulo5"/>
    <w:uiPriority w:val="9"/>
    <w:semiHidden/>
    <w:rsid w:val="003F31E5"/>
    <w:rPr>
      <w:rFonts w:eastAsiaTheme="majorEastAsia" w:cstheme="majorBidi"/>
      <w:color w:val="0F4761" w:themeColor="accent1" w:themeShade="BF"/>
      <w:kern w:val="0"/>
      <w:sz w:val="22"/>
      <w:szCs w:val="22"/>
      <w:lang w:val="es-ES" w:eastAsia="es-ES"/>
      <w14:ligatures w14:val="none"/>
    </w:rPr>
  </w:style>
  <w:style w:type="character" w:customStyle="1" w:styleId="Ttulo6Car">
    <w:name w:val="Título 6 Car"/>
    <w:basedOn w:val="Fuentedeprrafopredeter"/>
    <w:link w:val="Ttulo6"/>
    <w:uiPriority w:val="9"/>
    <w:semiHidden/>
    <w:rsid w:val="003F31E5"/>
    <w:rPr>
      <w:rFonts w:eastAsiaTheme="majorEastAsia" w:cstheme="majorBidi"/>
      <w:i/>
      <w:iCs/>
      <w:color w:val="595959" w:themeColor="text1" w:themeTint="A6"/>
      <w:kern w:val="0"/>
      <w:sz w:val="22"/>
      <w:szCs w:val="22"/>
      <w:lang w:val="es-ES" w:eastAsia="es-ES"/>
      <w14:ligatures w14:val="none"/>
    </w:rPr>
  </w:style>
  <w:style w:type="character" w:customStyle="1" w:styleId="Ttulo7Car">
    <w:name w:val="Título 7 Car"/>
    <w:basedOn w:val="Fuentedeprrafopredeter"/>
    <w:link w:val="Ttulo7"/>
    <w:uiPriority w:val="9"/>
    <w:semiHidden/>
    <w:rsid w:val="003F31E5"/>
    <w:rPr>
      <w:rFonts w:eastAsiaTheme="majorEastAsia" w:cstheme="majorBidi"/>
      <w:color w:val="595959" w:themeColor="text1" w:themeTint="A6"/>
      <w:kern w:val="0"/>
      <w:sz w:val="22"/>
      <w:szCs w:val="22"/>
      <w:lang w:val="es-ES" w:eastAsia="es-ES"/>
      <w14:ligatures w14:val="none"/>
    </w:rPr>
  </w:style>
  <w:style w:type="character" w:customStyle="1" w:styleId="Ttulo8Car">
    <w:name w:val="Título 8 Car"/>
    <w:basedOn w:val="Fuentedeprrafopredeter"/>
    <w:link w:val="Ttulo8"/>
    <w:uiPriority w:val="9"/>
    <w:semiHidden/>
    <w:rsid w:val="003F31E5"/>
    <w:rPr>
      <w:rFonts w:eastAsiaTheme="majorEastAsia" w:cstheme="majorBidi"/>
      <w:i/>
      <w:iCs/>
      <w:color w:val="272727" w:themeColor="text1" w:themeTint="D8"/>
      <w:kern w:val="0"/>
      <w:sz w:val="22"/>
      <w:szCs w:val="22"/>
      <w:lang w:val="es-ES" w:eastAsia="es-ES"/>
      <w14:ligatures w14:val="none"/>
    </w:rPr>
  </w:style>
  <w:style w:type="character" w:customStyle="1" w:styleId="Ttulo9Car">
    <w:name w:val="Título 9 Car"/>
    <w:basedOn w:val="Fuentedeprrafopredeter"/>
    <w:link w:val="Ttulo9"/>
    <w:uiPriority w:val="9"/>
    <w:semiHidden/>
    <w:rsid w:val="003F31E5"/>
    <w:rPr>
      <w:rFonts w:eastAsiaTheme="majorEastAsia" w:cstheme="majorBidi"/>
      <w:color w:val="272727" w:themeColor="text1" w:themeTint="D8"/>
      <w:kern w:val="0"/>
      <w:sz w:val="22"/>
      <w:szCs w:val="22"/>
      <w:lang w:val="es-ES" w:eastAsia="es-ES"/>
      <w14:ligatures w14:val="none"/>
    </w:rPr>
  </w:style>
  <w:style w:type="paragraph" w:styleId="Ttulo">
    <w:name w:val="Title"/>
    <w:basedOn w:val="Normal"/>
    <w:next w:val="Normal"/>
    <w:link w:val="TtuloCar"/>
    <w:uiPriority w:val="10"/>
    <w:qFormat/>
    <w:rsid w:val="003F31E5"/>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3F31E5"/>
    <w:rPr>
      <w:rFonts w:asciiTheme="majorHAnsi" w:eastAsiaTheme="majorEastAsia" w:hAnsiTheme="majorHAnsi" w:cstheme="majorBidi"/>
      <w:spacing w:val="-10"/>
      <w:kern w:val="28"/>
      <w:sz w:val="56"/>
      <w:szCs w:val="56"/>
      <w:lang w:val="es-ES" w:eastAsia="es-ES"/>
      <w14:ligatures w14:val="none"/>
    </w:rPr>
  </w:style>
  <w:style w:type="paragraph" w:styleId="Subttulo">
    <w:name w:val="Subtitle"/>
    <w:basedOn w:val="Normal"/>
    <w:next w:val="Normal"/>
    <w:link w:val="SubttuloCar"/>
    <w:uiPriority w:val="11"/>
    <w:qFormat/>
    <w:rsid w:val="003F31E5"/>
    <w:pPr>
      <w:numPr>
        <w:ilvl w:val="1"/>
      </w:numPr>
      <w:spacing w:before="0"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F31E5"/>
    <w:rPr>
      <w:rFonts w:eastAsiaTheme="majorEastAsia" w:cstheme="majorBidi"/>
      <w:color w:val="595959" w:themeColor="text1" w:themeTint="A6"/>
      <w:spacing w:val="15"/>
      <w:kern w:val="0"/>
      <w:sz w:val="28"/>
      <w:szCs w:val="28"/>
      <w:lang w:val="es-ES" w:eastAsia="es-ES"/>
      <w14:ligatures w14:val="none"/>
    </w:rPr>
  </w:style>
  <w:style w:type="paragraph" w:styleId="Cita">
    <w:name w:val="Quote"/>
    <w:basedOn w:val="Normal"/>
    <w:next w:val="Normal"/>
    <w:link w:val="CitaCar"/>
    <w:uiPriority w:val="29"/>
    <w:qFormat/>
    <w:rsid w:val="003F31E5"/>
    <w:pPr>
      <w:spacing w:before="160" w:after="160"/>
      <w:jc w:val="center"/>
    </w:pPr>
    <w:rPr>
      <w:rFonts w:ascii="Arial" w:hAnsi="Arial"/>
      <w:i/>
      <w:iCs/>
      <w:color w:val="404040" w:themeColor="text1" w:themeTint="BF"/>
    </w:rPr>
  </w:style>
  <w:style w:type="character" w:customStyle="1" w:styleId="CitaCar">
    <w:name w:val="Cita Car"/>
    <w:basedOn w:val="Fuentedeprrafopredeter"/>
    <w:link w:val="Cita"/>
    <w:uiPriority w:val="29"/>
    <w:rsid w:val="003F31E5"/>
    <w:rPr>
      <w:rFonts w:ascii="Arial" w:hAnsi="Arial" w:cs="Calibri"/>
      <w:i/>
      <w:iCs/>
      <w:color w:val="404040" w:themeColor="text1" w:themeTint="BF"/>
      <w:kern w:val="0"/>
      <w:sz w:val="22"/>
      <w:szCs w:val="22"/>
      <w:lang w:val="es-ES" w:eastAsia="es-ES"/>
      <w14:ligatures w14:val="none"/>
    </w:rPr>
  </w:style>
  <w:style w:type="paragraph" w:styleId="Prrafodelista">
    <w:name w:val="List Paragraph"/>
    <w:basedOn w:val="Normal"/>
    <w:uiPriority w:val="34"/>
    <w:qFormat/>
    <w:rsid w:val="003F31E5"/>
    <w:pPr>
      <w:spacing w:before="0" w:after="0"/>
      <w:ind w:left="720"/>
      <w:contextualSpacing/>
    </w:pPr>
    <w:rPr>
      <w:rFonts w:ascii="Arial" w:hAnsi="Arial"/>
      <w:color w:val="auto"/>
    </w:rPr>
  </w:style>
  <w:style w:type="character" w:styleId="nfasisintenso">
    <w:name w:val="Intense Emphasis"/>
    <w:basedOn w:val="Fuentedeprrafopredeter"/>
    <w:uiPriority w:val="21"/>
    <w:qFormat/>
    <w:rsid w:val="003F31E5"/>
    <w:rPr>
      <w:i/>
      <w:iCs/>
      <w:color w:val="0F4761" w:themeColor="accent1" w:themeShade="BF"/>
    </w:rPr>
  </w:style>
  <w:style w:type="paragraph" w:styleId="Citadestacada">
    <w:name w:val="Intense Quote"/>
    <w:basedOn w:val="Normal"/>
    <w:next w:val="Normal"/>
    <w:link w:val="CitadestacadaCar"/>
    <w:uiPriority w:val="30"/>
    <w:qFormat/>
    <w:rsid w:val="003F31E5"/>
    <w:pPr>
      <w:pBdr>
        <w:top w:val="single" w:sz="4" w:space="10" w:color="0F4761" w:themeColor="accent1" w:themeShade="BF"/>
        <w:bottom w:val="single" w:sz="4" w:space="10" w:color="0F4761" w:themeColor="accent1" w:themeShade="BF"/>
      </w:pBdr>
      <w:spacing w:before="360" w:after="360"/>
      <w:ind w:left="864" w:right="864"/>
      <w:jc w:val="center"/>
    </w:pPr>
    <w:rPr>
      <w:rFonts w:ascii="Arial" w:hAnsi="Arial"/>
      <w:i/>
      <w:iCs/>
      <w:color w:val="0F4761" w:themeColor="accent1" w:themeShade="BF"/>
    </w:rPr>
  </w:style>
  <w:style w:type="character" w:customStyle="1" w:styleId="CitadestacadaCar">
    <w:name w:val="Cita destacada Car"/>
    <w:basedOn w:val="Fuentedeprrafopredeter"/>
    <w:link w:val="Citadestacada"/>
    <w:uiPriority w:val="30"/>
    <w:rsid w:val="003F31E5"/>
    <w:rPr>
      <w:rFonts w:ascii="Arial" w:hAnsi="Arial" w:cs="Calibri"/>
      <w:i/>
      <w:iCs/>
      <w:color w:val="0F4761" w:themeColor="accent1" w:themeShade="BF"/>
      <w:kern w:val="0"/>
      <w:sz w:val="22"/>
      <w:szCs w:val="22"/>
      <w:lang w:val="es-ES" w:eastAsia="es-ES"/>
      <w14:ligatures w14:val="none"/>
    </w:rPr>
  </w:style>
  <w:style w:type="character" w:styleId="Referenciaintensa">
    <w:name w:val="Intense Reference"/>
    <w:basedOn w:val="Fuentedeprrafopredeter"/>
    <w:uiPriority w:val="32"/>
    <w:qFormat/>
    <w:rsid w:val="003F31E5"/>
    <w:rPr>
      <w:b/>
      <w:bCs/>
      <w:smallCaps/>
      <w:color w:val="0F4761" w:themeColor="accent1" w:themeShade="BF"/>
      <w:spacing w:val="5"/>
    </w:rPr>
  </w:style>
  <w:style w:type="character" w:styleId="Hipervnculo">
    <w:name w:val="Hyperlink"/>
    <w:basedOn w:val="Fuentedeprrafopredeter"/>
    <w:uiPriority w:val="99"/>
    <w:unhideWhenUsed/>
    <w:rsid w:val="003F31E5"/>
    <w:rPr>
      <w:color w:val="467886" w:themeColor="hyperlink"/>
      <w:u w:val="single"/>
    </w:rPr>
  </w:style>
  <w:style w:type="character" w:styleId="Mencinsinresolver">
    <w:name w:val="Unresolved Mention"/>
    <w:basedOn w:val="Fuentedeprrafopredeter"/>
    <w:uiPriority w:val="99"/>
    <w:semiHidden/>
    <w:unhideWhenUsed/>
    <w:rsid w:val="003F31E5"/>
    <w:rPr>
      <w:color w:val="605E5C"/>
      <w:shd w:val="clear" w:color="auto" w:fill="E1DFDD"/>
    </w:rPr>
  </w:style>
  <w:style w:type="table" w:styleId="Tablanormal2">
    <w:name w:val="Plain Table 2"/>
    <w:basedOn w:val="Tablanormal"/>
    <w:uiPriority w:val="42"/>
    <w:rsid w:val="005A1C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
    <w:name w:val="Table Grid"/>
    <w:basedOn w:val="Tablanormal"/>
    <w:uiPriority w:val="39"/>
    <w:rsid w:val="00771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F47199"/>
    <w:rPr>
      <w:i/>
      <w:iCs/>
      <w:color w:val="404040" w:themeColor="text1" w:themeTint="BF"/>
    </w:rPr>
  </w:style>
  <w:style w:type="table" w:styleId="Tablanormal4">
    <w:name w:val="Plain Table 4"/>
    <w:basedOn w:val="Tablanormal"/>
    <w:uiPriority w:val="44"/>
    <w:rsid w:val="002020B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E603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BD1068"/>
    <w:pPr>
      <w:spacing w:before="100" w:beforeAutospacing="1" w:after="100" w:afterAutospacing="1" w:line="240" w:lineRule="auto"/>
      <w:jc w:val="left"/>
    </w:pPr>
    <w:rPr>
      <w:rFonts w:eastAsia="Times New Roman" w:cs="Times New Roman"/>
      <w:sz w:val="24"/>
      <w:szCs w:val="24"/>
      <w:lang w:val="es-MX" w:eastAsia="es-MX"/>
    </w:rPr>
  </w:style>
  <w:style w:type="character" w:styleId="nfasis">
    <w:name w:val="Emphasis"/>
    <w:basedOn w:val="Fuentedeprrafopredeter"/>
    <w:uiPriority w:val="20"/>
    <w:qFormat/>
    <w:rsid w:val="00BD1068"/>
    <w:rPr>
      <w:i/>
      <w:iCs/>
    </w:rPr>
  </w:style>
  <w:style w:type="paragraph" w:styleId="TtuloTDC">
    <w:name w:val="TOC Heading"/>
    <w:basedOn w:val="Ttulo1"/>
    <w:next w:val="Normal"/>
    <w:uiPriority w:val="39"/>
    <w:unhideWhenUsed/>
    <w:qFormat/>
    <w:rsid w:val="00F24DB5"/>
    <w:pPr>
      <w:numPr>
        <w:numId w:val="0"/>
      </w:numPr>
      <w:spacing w:before="240" w:after="0" w:line="259" w:lineRule="auto"/>
      <w:outlineLvl w:val="9"/>
    </w:pPr>
    <w:rPr>
      <w:rFonts w:asciiTheme="majorHAnsi" w:hAnsiTheme="majorHAnsi"/>
      <w:b w:val="0"/>
      <w:color w:val="0F4761" w:themeColor="accent1" w:themeShade="BF"/>
      <w:sz w:val="32"/>
      <w:szCs w:val="32"/>
      <w:lang w:eastAsia="es-MX"/>
    </w:rPr>
  </w:style>
  <w:style w:type="paragraph" w:styleId="TDC1">
    <w:name w:val="toc 1"/>
    <w:basedOn w:val="Normal"/>
    <w:next w:val="Normal"/>
    <w:autoRedefine/>
    <w:uiPriority w:val="39"/>
    <w:unhideWhenUsed/>
    <w:rsid w:val="00F24DB5"/>
    <w:pPr>
      <w:spacing w:before="0" w:after="100"/>
    </w:pPr>
    <w:rPr>
      <w:rFonts w:ascii="Arial" w:hAnsi="Arial"/>
      <w:color w:val="auto"/>
    </w:rPr>
  </w:style>
  <w:style w:type="paragraph" w:styleId="TDC2">
    <w:name w:val="toc 2"/>
    <w:basedOn w:val="Normal"/>
    <w:next w:val="Normal"/>
    <w:autoRedefine/>
    <w:uiPriority w:val="39"/>
    <w:unhideWhenUsed/>
    <w:rsid w:val="00F24DB5"/>
    <w:pPr>
      <w:spacing w:after="100"/>
      <w:ind w:left="220"/>
    </w:pPr>
  </w:style>
  <w:style w:type="paragraph" w:styleId="TDC3">
    <w:name w:val="toc 3"/>
    <w:basedOn w:val="Normal"/>
    <w:next w:val="Normal"/>
    <w:autoRedefine/>
    <w:uiPriority w:val="39"/>
    <w:unhideWhenUsed/>
    <w:rsid w:val="00F24DB5"/>
    <w:pPr>
      <w:spacing w:after="100"/>
      <w:ind w:left="440"/>
    </w:pPr>
  </w:style>
  <w:style w:type="paragraph" w:styleId="TDC4">
    <w:name w:val="toc 4"/>
    <w:basedOn w:val="Normal"/>
    <w:next w:val="Normal"/>
    <w:autoRedefine/>
    <w:uiPriority w:val="39"/>
    <w:unhideWhenUsed/>
    <w:rsid w:val="00F24DB5"/>
    <w:pPr>
      <w:spacing w:after="100" w:line="278" w:lineRule="auto"/>
      <w:ind w:left="720"/>
      <w:jc w:val="left"/>
    </w:pPr>
    <w:rPr>
      <w:rFonts w:asciiTheme="minorHAnsi" w:eastAsiaTheme="minorEastAsia" w:hAnsiTheme="minorHAnsi" w:cstheme="minorBidi"/>
      <w:kern w:val="2"/>
      <w:sz w:val="24"/>
      <w:szCs w:val="24"/>
      <w:lang w:val="es-MX" w:eastAsia="es-MX"/>
      <w14:ligatures w14:val="standardContextual"/>
    </w:rPr>
  </w:style>
  <w:style w:type="paragraph" w:styleId="TDC5">
    <w:name w:val="toc 5"/>
    <w:basedOn w:val="Normal"/>
    <w:next w:val="Normal"/>
    <w:autoRedefine/>
    <w:uiPriority w:val="39"/>
    <w:unhideWhenUsed/>
    <w:rsid w:val="00F24DB5"/>
    <w:pPr>
      <w:spacing w:after="100" w:line="278" w:lineRule="auto"/>
      <w:ind w:left="960"/>
      <w:jc w:val="left"/>
    </w:pPr>
    <w:rPr>
      <w:rFonts w:asciiTheme="minorHAnsi" w:eastAsiaTheme="minorEastAsia" w:hAnsiTheme="minorHAnsi" w:cstheme="minorBidi"/>
      <w:kern w:val="2"/>
      <w:sz w:val="24"/>
      <w:szCs w:val="24"/>
      <w:lang w:val="es-MX" w:eastAsia="es-MX"/>
      <w14:ligatures w14:val="standardContextual"/>
    </w:rPr>
  </w:style>
  <w:style w:type="paragraph" w:styleId="TDC6">
    <w:name w:val="toc 6"/>
    <w:basedOn w:val="Normal"/>
    <w:next w:val="Normal"/>
    <w:autoRedefine/>
    <w:uiPriority w:val="39"/>
    <w:unhideWhenUsed/>
    <w:rsid w:val="00F24DB5"/>
    <w:pPr>
      <w:spacing w:after="100" w:line="278" w:lineRule="auto"/>
      <w:ind w:left="1200"/>
      <w:jc w:val="left"/>
    </w:pPr>
    <w:rPr>
      <w:rFonts w:asciiTheme="minorHAnsi" w:eastAsiaTheme="minorEastAsia" w:hAnsiTheme="minorHAnsi" w:cstheme="minorBidi"/>
      <w:kern w:val="2"/>
      <w:sz w:val="24"/>
      <w:szCs w:val="24"/>
      <w:lang w:val="es-MX" w:eastAsia="es-MX"/>
      <w14:ligatures w14:val="standardContextual"/>
    </w:rPr>
  </w:style>
  <w:style w:type="paragraph" w:styleId="TDC7">
    <w:name w:val="toc 7"/>
    <w:basedOn w:val="Normal"/>
    <w:next w:val="Normal"/>
    <w:autoRedefine/>
    <w:uiPriority w:val="39"/>
    <w:unhideWhenUsed/>
    <w:rsid w:val="00F24DB5"/>
    <w:pPr>
      <w:spacing w:after="100" w:line="278" w:lineRule="auto"/>
      <w:ind w:left="1440"/>
      <w:jc w:val="left"/>
    </w:pPr>
    <w:rPr>
      <w:rFonts w:asciiTheme="minorHAnsi" w:eastAsiaTheme="minorEastAsia" w:hAnsiTheme="minorHAnsi" w:cstheme="minorBidi"/>
      <w:kern w:val="2"/>
      <w:sz w:val="24"/>
      <w:szCs w:val="24"/>
      <w:lang w:val="es-MX" w:eastAsia="es-MX"/>
      <w14:ligatures w14:val="standardContextual"/>
    </w:rPr>
  </w:style>
  <w:style w:type="paragraph" w:styleId="TDC8">
    <w:name w:val="toc 8"/>
    <w:basedOn w:val="Normal"/>
    <w:next w:val="Normal"/>
    <w:autoRedefine/>
    <w:uiPriority w:val="39"/>
    <w:unhideWhenUsed/>
    <w:rsid w:val="00F24DB5"/>
    <w:pPr>
      <w:spacing w:after="100" w:line="278" w:lineRule="auto"/>
      <w:ind w:left="1680"/>
      <w:jc w:val="left"/>
    </w:pPr>
    <w:rPr>
      <w:rFonts w:asciiTheme="minorHAnsi" w:eastAsiaTheme="minorEastAsia" w:hAnsiTheme="minorHAnsi" w:cstheme="minorBidi"/>
      <w:kern w:val="2"/>
      <w:sz w:val="24"/>
      <w:szCs w:val="24"/>
      <w:lang w:val="es-MX" w:eastAsia="es-MX"/>
      <w14:ligatures w14:val="standardContextual"/>
    </w:rPr>
  </w:style>
  <w:style w:type="paragraph" w:styleId="TDC9">
    <w:name w:val="toc 9"/>
    <w:basedOn w:val="Normal"/>
    <w:next w:val="Normal"/>
    <w:autoRedefine/>
    <w:uiPriority w:val="39"/>
    <w:unhideWhenUsed/>
    <w:rsid w:val="00F24DB5"/>
    <w:pPr>
      <w:spacing w:after="100" w:line="278" w:lineRule="auto"/>
      <w:ind w:left="1920"/>
      <w:jc w:val="left"/>
    </w:pPr>
    <w:rPr>
      <w:rFonts w:asciiTheme="minorHAnsi" w:eastAsiaTheme="minorEastAsia" w:hAnsiTheme="minorHAnsi" w:cstheme="minorBidi"/>
      <w:kern w:val="2"/>
      <w:sz w:val="24"/>
      <w:szCs w:val="24"/>
      <w:lang w:val="es-MX" w:eastAsia="es-MX"/>
      <w14:ligatures w14:val="standardContextual"/>
    </w:rPr>
  </w:style>
  <w:style w:type="character" w:styleId="Fuerte">
    <w:name w:val="Strong"/>
    <w:basedOn w:val="Fuentedeprrafopredeter"/>
    <w:uiPriority w:val="22"/>
    <w:qFormat/>
    <w:rsid w:val="00654249"/>
    <w:rPr>
      <w:b/>
      <w:bCs/>
    </w:rPr>
  </w:style>
  <w:style w:type="paragraph" w:styleId="Sinespaciado">
    <w:name w:val="No Spacing"/>
    <w:uiPriority w:val="1"/>
    <w:qFormat/>
    <w:rsid w:val="009C6A73"/>
    <w:pPr>
      <w:spacing w:after="0" w:line="240" w:lineRule="auto"/>
      <w:jc w:val="both"/>
    </w:pPr>
    <w:rPr>
      <w:rFonts w:ascii="Times New Roman" w:hAnsi="Times New Roman" w:cs="Calibri"/>
      <w:color w:val="000000" w:themeColor="text1"/>
      <w:kern w:val="0"/>
      <w:sz w:val="22"/>
      <w:szCs w:val="22"/>
      <w:lang w:val="es-ES" w:eastAsia="es-ES"/>
      <w14:ligatures w14:val="none"/>
    </w:rPr>
  </w:style>
  <w:style w:type="paragraph" w:customStyle="1" w:styleId="artifact-docx-previewheading1">
    <w:name w:val="artifact-docx-preview_heading1"/>
    <w:basedOn w:val="Normal"/>
    <w:rsid w:val="00E21F8F"/>
    <w:pPr>
      <w:spacing w:before="100" w:beforeAutospacing="1" w:after="100" w:afterAutospacing="1" w:line="240" w:lineRule="auto"/>
      <w:jc w:val="left"/>
    </w:pPr>
    <w:rPr>
      <w:rFonts w:eastAsia="Times New Roman" w:cs="Times New Roman"/>
      <w:color w:val="auto"/>
      <w:sz w:val="24"/>
      <w:szCs w:val="24"/>
      <w:lang w:val="es-MX" w:eastAsia="es-MX"/>
    </w:rPr>
  </w:style>
  <w:style w:type="table" w:styleId="Tablanormal1">
    <w:name w:val="Plain Table 1"/>
    <w:basedOn w:val="Tablanormal"/>
    <w:uiPriority w:val="41"/>
    <w:rsid w:val="002A3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26/science.aab2374" TargetMode="External"/><Relationship Id="rId21" Type="http://schemas.openxmlformats.org/officeDocument/2006/relationships/image" Target="media/image10.png"/><Relationship Id="rId42" Type="http://schemas.openxmlformats.org/officeDocument/2006/relationships/image" Target="media/image31.jpeg"/><Relationship Id="rId63" Type="http://schemas.openxmlformats.org/officeDocument/2006/relationships/hyperlink" Target="https://doi.org/10.1007/978-981-287-098-8" TargetMode="External"/><Relationship Id="rId84" Type="http://schemas.openxmlformats.org/officeDocument/2006/relationships/hyperlink" Target="https://doi.org/10.1002/jrsm.1378" TargetMode="External"/><Relationship Id="rId138" Type="http://schemas.openxmlformats.org/officeDocument/2006/relationships/hyperlink" Target="https://doi.org/10.54676/JJNK6989" TargetMode="External"/><Relationship Id="rId159" Type="http://schemas.openxmlformats.org/officeDocument/2006/relationships/hyperlink" Target="mailto:faromanl67@gmail.com" TargetMode="External"/><Relationship Id="rId107" Type="http://schemas.openxmlformats.org/officeDocument/2006/relationships/hyperlink" Target="https://doi.org/10.1111/j.1467-9620.2006.00684.x" TargetMode="External"/><Relationship Id="rId11" Type="http://schemas.openxmlformats.org/officeDocument/2006/relationships/image" Target="media/image2.jpeg"/><Relationship Id="rId32" Type="http://schemas.openxmlformats.org/officeDocument/2006/relationships/image" Target="media/image21.png"/><Relationship Id="rId53" Type="http://schemas.openxmlformats.org/officeDocument/2006/relationships/hyperlink" Target="https://www.ala.org/acrl/standards/ilframework" TargetMode="External"/><Relationship Id="rId74" Type="http://schemas.openxmlformats.org/officeDocument/2006/relationships/hyperlink" Target="https://doi.org/10.1186/s41239-023-00392-8" TargetMode="External"/><Relationship Id="rId128" Type="http://schemas.openxmlformats.org/officeDocument/2006/relationships/hyperlink" Target="https://doi.org/10.1371/journal.pcbi.1003285" TargetMode="External"/><Relationship Id="rId149" Type="http://schemas.openxmlformats.org/officeDocument/2006/relationships/hyperlink" Target="https://doi.org/10.1038/sdata.2016.18" TargetMode="External"/><Relationship Id="rId5" Type="http://schemas.openxmlformats.org/officeDocument/2006/relationships/webSettings" Target="webSettings.xml"/><Relationship Id="rId95" Type="http://schemas.openxmlformats.org/officeDocument/2006/relationships/hyperlink" Target="https://doi.org/10.1038/s42256-019-0088-2" TargetMode="External"/><Relationship Id="rId160" Type="http://schemas.openxmlformats.org/officeDocument/2006/relationships/image" Target="media/image39.png"/><Relationship Id="rId22" Type="http://schemas.openxmlformats.org/officeDocument/2006/relationships/image" Target="media/image11.png"/><Relationship Id="rId43" Type="http://schemas.openxmlformats.org/officeDocument/2006/relationships/image" Target="media/image32.jpeg"/><Relationship Id="rId64" Type="http://schemas.openxmlformats.org/officeDocument/2006/relationships/hyperlink" Target="https://doi.org/10.1080/00031305.2017.1375989" TargetMode="External"/><Relationship Id="rId118" Type="http://schemas.openxmlformats.org/officeDocument/2006/relationships/hyperlink" Target="https://legalinstruments.oecd.org/en/instruments/OECD-LEGAL-0449" TargetMode="External"/><Relationship Id="rId139" Type="http://schemas.openxmlformats.org/officeDocument/2006/relationships/hyperlink" Target="https://unesdoc.unesco.org/ark:/48223/pf0000381137" TargetMode="External"/><Relationship Id="rId85" Type="http://schemas.openxmlformats.org/officeDocument/2006/relationships/hyperlink" Target="https://doi.org/10.3102/003465430298487" TargetMode="External"/><Relationship Id="rId150" Type="http://schemas.openxmlformats.org/officeDocument/2006/relationships/hyperlink" Target="https://doi.org/10.1111/j.1745-3992.2011.00223.x" TargetMode="External"/><Relationship Id="rId12" Type="http://schemas.openxmlformats.org/officeDocument/2006/relationships/image" Target="media/image3.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hyperlink" Target="https://doi.org/10.4324/9780203964309" TargetMode="External"/><Relationship Id="rId103" Type="http://schemas.openxmlformats.org/officeDocument/2006/relationships/hyperlink" Target="https://doi.org/10.1017/9781316941355" TargetMode="External"/><Relationship Id="rId108" Type="http://schemas.openxmlformats.org/officeDocument/2006/relationships/hyperlink" Target="https://doi.org/10.1145/3287560.3287596" TargetMode="External"/><Relationship Id="rId124" Type="http://schemas.openxmlformats.org/officeDocument/2006/relationships/hyperlink" Target="https://doi.org/10.1126/science.1213847" TargetMode="External"/><Relationship Id="rId129" Type="http://schemas.openxmlformats.org/officeDocument/2006/relationships/hyperlink" Target="https://doi.org/10.4324/9780203095942" TargetMode="External"/><Relationship Id="rId54" Type="http://schemas.openxmlformats.org/officeDocument/2006/relationships/hyperlink" Target="https://doi.org/10.6028/NIST.AI.600-1" TargetMode="External"/><Relationship Id="rId70" Type="http://schemas.openxmlformats.org/officeDocument/2006/relationships/hyperlink" Target="https://publicationethics.org/guidance/cope-position/authorship-and-ai-tools" TargetMode="External"/><Relationship Id="rId75" Type="http://schemas.openxmlformats.org/officeDocument/2006/relationships/hyperlink" Target="https://doi.org/10.7551/mitpress/11805.001.0001" TargetMode="External"/><Relationship Id="rId91" Type="http://schemas.openxmlformats.org/officeDocument/2006/relationships/hyperlink" Target="https://www.icmje.org/recommendations/" TargetMode="External"/><Relationship Id="rId96" Type="http://schemas.openxmlformats.org/officeDocument/2006/relationships/hyperlink" Target="https://doi.org/10.1111/jedm.12000" TargetMode="External"/><Relationship Id="rId140" Type="http://schemas.openxmlformats.org/officeDocument/2006/relationships/hyperlink" Target="https://doi.org/10.54676/UZQV8501" TargetMode="External"/><Relationship Id="rId145" Type="http://schemas.openxmlformats.org/officeDocument/2006/relationships/hyperlink" Target="https://doi.org/10.7551/mitpress/6699.001.0001" TargetMode="External"/><Relationship Id="rId161" Type="http://schemas.openxmlformats.org/officeDocument/2006/relationships/hyperlink" Target="mailto:eldercalizaya@gmail.com"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hyperlink" Target="https://doi.org/10.1016/j.caeai.2024.100204" TargetMode="External"/><Relationship Id="rId114" Type="http://schemas.openxmlformats.org/officeDocument/2006/relationships/hyperlink" Target="https://doi.org/10.6028/NIST.CSWP.01162020" TargetMode="External"/><Relationship Id="rId119" Type="http://schemas.openxmlformats.org/officeDocument/2006/relationships/hyperlink" Target="https://doi.org/10.1787/c74f03de-en" TargetMode="External"/><Relationship Id="rId44" Type="http://schemas.openxmlformats.org/officeDocument/2006/relationships/image" Target="media/image33.png"/><Relationship Id="rId60" Type="http://schemas.openxmlformats.org/officeDocument/2006/relationships/hyperlink" Target="https://doi.org/10.5195/jmla.2018.283" TargetMode="External"/><Relationship Id="rId65" Type="http://schemas.openxmlformats.org/officeDocument/2006/relationships/hyperlink" Target="https://proceedings.mlr.press/v81/buolamwini18a.html" TargetMode="External"/><Relationship Id="rId81" Type="http://schemas.openxmlformats.org/officeDocument/2006/relationships/hyperlink" Target="https://doi.org/10.1007/s11023-018-9482-5" TargetMode="External"/><Relationship Id="rId86" Type="http://schemas.openxmlformats.org/officeDocument/2006/relationships/hyperlink" Target="https://doi.org/10.4135/9781526492982" TargetMode="External"/><Relationship Id="rId130" Type="http://schemas.openxmlformats.org/officeDocument/2006/relationships/hyperlink" Target="https://doi.org/10.1145/3287560.3287598" TargetMode="External"/><Relationship Id="rId135" Type="http://schemas.openxmlformats.org/officeDocument/2006/relationships/hyperlink" Target="https://doi.org/10.2307/40041279" TargetMode="External"/><Relationship Id="rId151" Type="http://schemas.openxmlformats.org/officeDocument/2006/relationships/hyperlink" Target="https://www.who.int/publications/i/item/9789240063600" TargetMode="External"/><Relationship Id="rId156" Type="http://schemas.openxmlformats.org/officeDocument/2006/relationships/image" Target="media/image38.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hyperlink" Target="https://doi.org/10.1038/s42256-019-0114-4" TargetMode="External"/><Relationship Id="rId34" Type="http://schemas.openxmlformats.org/officeDocument/2006/relationships/image" Target="media/image23.png"/><Relationship Id="rId50" Type="http://schemas.openxmlformats.org/officeDocument/2006/relationships/hyperlink" Target="https://www.aaup.org/reports-publications/aaup-policies-reports/topical-reports/artificial-intelligence-and-academic" TargetMode="External"/><Relationship Id="rId55" Type="http://schemas.openxmlformats.org/officeDocument/2006/relationships/hyperlink" Target="https://doi.org/10.1007/s40593-021-00285-9" TargetMode="External"/><Relationship Id="rId76" Type="http://schemas.openxmlformats.org/officeDocument/2006/relationships/hyperlink" Target="https://doi.org/10.4324/9780429324178" TargetMode="External"/><Relationship Id="rId97" Type="http://schemas.openxmlformats.org/officeDocument/2006/relationships/hyperlink" Target="https://doi.org/10.1016/j.lindif.2023.102274" TargetMode="External"/><Relationship Id="rId104" Type="http://schemas.openxmlformats.org/officeDocument/2006/relationships/hyperlink" Target="https://doi.org/10.54675/ZJTE2084" TargetMode="External"/><Relationship Id="rId120" Type="http://schemas.openxmlformats.org/officeDocument/2006/relationships/hyperlink" Target="https://doi.org/10.1787/062a7394-en" TargetMode="External"/><Relationship Id="rId125" Type="http://schemas.openxmlformats.org/officeDocument/2006/relationships/hyperlink" Target="https://www.telecomunicaciones.gob.ec/wp-content/uploads/2023/11/Decreto-Ejecutivo-No.-904.pdf" TargetMode="External"/><Relationship Id="rId141" Type="http://schemas.openxmlformats.org/officeDocument/2006/relationships/hyperlink" Target="https://unesdoc.unesco.org/ark:/48223/pf0000385146" TargetMode="External"/><Relationship Id="rId146" Type="http://schemas.openxmlformats.org/officeDocument/2006/relationships/hyperlink" Target="https://doi.org/10.1080/00031305.2016.1154108" TargetMode="External"/><Relationship Id="rId167" Type="http://schemas.openxmlformats.org/officeDocument/2006/relationships/theme" Target="theme/theme1.xml"/><Relationship Id="rId7" Type="http://schemas.openxmlformats.org/officeDocument/2006/relationships/hyperlink" Target="mailto:editor@redsa.ec" TargetMode="External"/><Relationship Id="rId71" Type="http://schemas.openxmlformats.org/officeDocument/2006/relationships/hyperlink" Target="https://www.consejodiscapacidades.gob.ec/accesibilidad/" TargetMode="External"/><Relationship Id="rId92" Type="http://schemas.openxmlformats.org/officeDocument/2006/relationships/hyperlink" Target="https://www.iso.org/standard/70913.html" TargetMode="External"/><Relationship Id="rId162" Type="http://schemas.openxmlformats.org/officeDocument/2006/relationships/image" Target="media/image4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hyperlink" Target="https://doi.org/10.1080/02602938.2018.1463354" TargetMode="External"/><Relationship Id="rId87" Type="http://schemas.openxmlformats.org/officeDocument/2006/relationships/hyperlink" Target="https://www.training.cochrane.org/handbook" TargetMode="External"/><Relationship Id="rId110" Type="http://schemas.openxmlformats.org/officeDocument/2006/relationships/hyperlink" Target="https://doi.org/10.1111/ejed.12527" TargetMode="External"/><Relationship Id="rId115" Type="http://schemas.openxmlformats.org/officeDocument/2006/relationships/hyperlink" Target="https://doi.org/10.1080/02602938.2013.795518" TargetMode="External"/><Relationship Id="rId131" Type="http://schemas.openxmlformats.org/officeDocument/2006/relationships/hyperlink" Target="https://doi.org/10.5040/9781474235952" TargetMode="External"/><Relationship Id="rId136" Type="http://schemas.openxmlformats.org/officeDocument/2006/relationships/hyperlink" Target="https://spdp.gob.ec/resolucion-n-spdp-spd-2025-0003-r-guia-de-gestion-de-riesgos-y-evaluacion-de-impacto-del-tratamiento-de-datos-personales-con-su-anexo/" TargetMode="External"/><Relationship Id="rId157" Type="http://schemas.openxmlformats.org/officeDocument/2006/relationships/hyperlink" Target="mailto:pedro.falconi@unesum.edu.ec" TargetMode="External"/><Relationship Id="rId61" Type="http://schemas.openxmlformats.org/officeDocument/2006/relationships/hyperlink" Target="https://doi.org/10.3163/1536-5050.104.3.014" TargetMode="External"/><Relationship Id="rId82" Type="http://schemas.openxmlformats.org/officeDocument/2006/relationships/hyperlink" Target="https://doi.org/10.1017/9781139161879" TargetMode="External"/><Relationship Id="rId152" Type="http://schemas.openxmlformats.org/officeDocument/2006/relationships/hyperlink" Target="https://www.w3.org/TR/WCAG22/" TargetMode="External"/><Relationship Id="rId19" Type="http://schemas.openxmlformats.org/officeDocument/2006/relationships/image" Target="media/image8.png"/><Relationship Id="rId14" Type="http://schemas.openxmlformats.org/officeDocument/2006/relationships/image" Target="media/image5.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hyperlink" Target="https://doi.org/10.1145/3442188.3445922" TargetMode="External"/><Relationship Id="rId77" Type="http://schemas.openxmlformats.org/officeDocument/2006/relationships/hyperlink" Target="https://doi.org/10.1007/978-3-030-30371-6" TargetMode="External"/><Relationship Id="rId100" Type="http://schemas.openxmlformats.org/officeDocument/2006/relationships/hyperlink" Target="https://doi.org/10.1525/collabra.33267" TargetMode="External"/><Relationship Id="rId105" Type="http://schemas.openxmlformats.org/officeDocument/2006/relationships/hyperlink" Target="https://unesdoc.unesco.org/ark:/48223/pf0000386693" TargetMode="External"/><Relationship Id="rId126" Type="http://schemas.openxmlformats.org/officeDocument/2006/relationships/hyperlink" Target="https://doi.org/10.1145/3351095.3372873" TargetMode="External"/><Relationship Id="rId147" Type="http://schemas.openxmlformats.org/officeDocument/2006/relationships/hyperlink" Target="https://doi.org/10.1080/00031305.2019.1583913" TargetMode="External"/><Relationship Id="rId8" Type="http://schemas.openxmlformats.org/officeDocument/2006/relationships/hyperlink" Target="https://biblioteca.redsa.ec/" TargetMode="External"/><Relationship Id="rId51" Type="http://schemas.openxmlformats.org/officeDocument/2006/relationships/hyperlink" Target="https://doi.org/10.3389/feduc.2019.00087" TargetMode="External"/><Relationship Id="rId72" Type="http://schemas.openxmlformats.org/officeDocument/2006/relationships/hyperlink" Target="https://doi.org/10.1080/14703297.2023.2190148" TargetMode="External"/><Relationship Id="rId93" Type="http://schemas.openxmlformats.org/officeDocument/2006/relationships/hyperlink" Target="https://www.iso.org/standard/81230.html" TargetMode="External"/><Relationship Id="rId98" Type="http://schemas.openxmlformats.org/officeDocument/2006/relationships/hyperlink" Target="https://scholarship.law.upenn.edu/penn_law_review/vol165/iss3/3" TargetMode="External"/><Relationship Id="rId121" Type="http://schemas.openxmlformats.org/officeDocument/2006/relationships/hyperlink" Target="https://doi.org/10.1016/j.edurev.2013.01.002" TargetMode="External"/><Relationship Id="rId142" Type="http://schemas.openxmlformats.org/officeDocument/2006/relationships/hyperlink" Target="https://doi.org/10.1038/s42256-020-00287-7" TargetMode="External"/><Relationship Id="rId163" Type="http://schemas.openxmlformats.org/officeDocument/2006/relationships/hyperlink" Target="mailto:brchm.1983@gmail.com" TargetMode="Externa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jpeg"/><Relationship Id="rId67" Type="http://schemas.openxmlformats.org/officeDocument/2006/relationships/hyperlink" Target="https://udlguidelines.cast.org/" TargetMode="External"/><Relationship Id="rId116" Type="http://schemas.openxmlformats.org/officeDocument/2006/relationships/hyperlink" Target="https://doi.org/10.18574/nyu/9781479833641.001.0001" TargetMode="External"/><Relationship Id="rId137" Type="http://schemas.openxmlformats.org/officeDocument/2006/relationships/hyperlink" Target="https://doi.org/10.6028/NIST.AI.100-1" TargetMode="External"/><Relationship Id="rId158" Type="http://schemas.openxmlformats.org/officeDocument/2006/relationships/hyperlink" Target="https://orcid.org/0000-0002-7878-092X" TargetMode="External"/><Relationship Id="rId20" Type="http://schemas.openxmlformats.org/officeDocument/2006/relationships/image" Target="media/image9.png"/><Relationship Id="rId41" Type="http://schemas.openxmlformats.org/officeDocument/2006/relationships/image" Target="media/image30.jpeg"/><Relationship Id="rId62" Type="http://schemas.openxmlformats.org/officeDocument/2006/relationships/hyperlink" Target="https://doi.org/10.1087/20150211" TargetMode="External"/><Relationship Id="rId83" Type="http://schemas.openxmlformats.org/officeDocument/2006/relationships/hyperlink" Target="https://doi.org/10.5555/579095" TargetMode="External"/><Relationship Id="rId88" Type="http://schemas.openxmlformats.org/officeDocument/2006/relationships/hyperlink" Target="https://doi.org/10.1007/s11423-020-09788-z" TargetMode="External"/><Relationship Id="rId111" Type="http://schemas.openxmlformats.org/officeDocument/2006/relationships/hyperlink" Target="https://www.un.org/disabilities/documents/convention/convoptprot-s.pdf" TargetMode="External"/><Relationship Id="rId132" Type="http://schemas.openxmlformats.org/officeDocument/2006/relationships/hyperlink" Target="https://doi.org/10.3102/0034654307313795" TargetMode="External"/><Relationship Id="rId153" Type="http://schemas.openxmlformats.org/officeDocument/2006/relationships/hyperlink" Target="https://doi.org/10.1186/s41239-019-0171-0" TargetMode="External"/><Relationship Id="rId15" Type="http://schemas.openxmlformats.org/officeDocument/2006/relationships/hyperlink" Target="https://doi.org/10.66646/educa-plus/09sep2607" TargetMode="External"/><Relationship Id="rId36" Type="http://schemas.openxmlformats.org/officeDocument/2006/relationships/image" Target="media/image25.png"/><Relationship Id="rId57" Type="http://schemas.openxmlformats.org/officeDocument/2006/relationships/hyperlink" Target="https://doi.org/10.1007/s11092-008-9068-5" TargetMode="External"/><Relationship Id="rId106" Type="http://schemas.openxmlformats.org/officeDocument/2006/relationships/hyperlink" Target="https://doi.org/10.54675/JKJB9835" TargetMode="External"/><Relationship Id="rId127" Type="http://schemas.openxmlformats.org/officeDocument/2006/relationships/hyperlink" Target="https://doi.org/10.1007/BF00117714" TargetMode="External"/><Relationship Id="rId10" Type="http://schemas.openxmlformats.org/officeDocument/2006/relationships/hyperlink" Target="https://biblioteca.redsa.ec/" TargetMode="External"/><Relationship Id="rId31" Type="http://schemas.openxmlformats.org/officeDocument/2006/relationships/image" Target="media/image20.png"/><Relationship Id="rId52" Type="http://schemas.openxmlformats.org/officeDocument/2006/relationships/hyperlink" Target="https://www.asambleanacional.gob.ec/es/multimedios-legislativos/63464-ley-organica-de-proteccion-de-datos" TargetMode="External"/><Relationship Id="rId73" Type="http://schemas.openxmlformats.org/officeDocument/2006/relationships/hyperlink" Target="https://doi.org/10.12987/9780300252392" TargetMode="External"/><Relationship Id="rId78" Type="http://schemas.openxmlformats.org/officeDocument/2006/relationships/hyperlink" Target="https://doi.org/10.2766/153756" TargetMode="External"/><Relationship Id="rId94" Type="http://schemas.openxmlformats.org/officeDocument/2006/relationships/hyperlink" Target="https://www.itu.int/itu-d/reports/statistics/facts-figures-2025/" TargetMode="External"/><Relationship Id="rId99" Type="http://schemas.openxmlformats.org/officeDocument/2006/relationships/hyperlink" Target="https://doi.org/10.3102/0034654315581420" TargetMode="External"/><Relationship Id="rId101" Type="http://schemas.openxmlformats.org/officeDocument/2006/relationships/hyperlink" Target="https://doi.org/10.4324/9780203125083" TargetMode="External"/><Relationship Id="rId122" Type="http://schemas.openxmlformats.org/officeDocument/2006/relationships/hyperlink" Target="https://doi.org/10.1007/978-3-319-39211-0_18" TargetMode="External"/><Relationship Id="rId143" Type="http://schemas.openxmlformats.org/officeDocument/2006/relationships/hyperlink" Target="https://doi.org/10.1038/d41586-023-00288-7" TargetMode="External"/><Relationship Id="rId148" Type="http://schemas.openxmlformats.org/officeDocument/2006/relationships/hyperlink" Target="https://doi.org/10.1007/s40979-023-00146-z" TargetMode="External"/><Relationship Id="rId164"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yperlink" Target="https://doi.org/10.66646/educa-plus/09sep2608" TargetMode="Externa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hyperlink" Target="https://doi.org/10.1080/00461520.2014.965823" TargetMode="External"/><Relationship Id="rId89" Type="http://schemas.openxmlformats.org/officeDocument/2006/relationships/hyperlink" Target="https://www.ecuadorencifras.gob.ec/tecnologias-de-la-informacion-y-comunicacion-tic/" TargetMode="External"/><Relationship Id="rId112" Type="http://schemas.openxmlformats.org/officeDocument/2006/relationships/hyperlink" Target="https://www.un.org/global-digital-compact/es" TargetMode="External"/><Relationship Id="rId133" Type="http://schemas.openxmlformats.org/officeDocument/2006/relationships/hyperlink" Target="https://doi.org/10.1177/0002764213479366" TargetMode="External"/><Relationship Id="rId154" Type="http://schemas.openxmlformats.org/officeDocument/2006/relationships/hyperlink" Target="https://doi.org/10.1186/s40561-024-00316-7" TargetMode="External"/><Relationship Id="rId16" Type="http://schemas.openxmlformats.org/officeDocument/2006/relationships/hyperlink" Target="https://creativecommons.org/licenses/by-nc-sa/4.0/deed.es" TargetMode="External"/><Relationship Id="rId37" Type="http://schemas.openxmlformats.org/officeDocument/2006/relationships/image" Target="media/image26.png"/><Relationship Id="rId58" Type="http://schemas.openxmlformats.org/officeDocument/2006/relationships/hyperlink" Target="https://doi.org/10.1186/s41239-023-00436-z" TargetMode="External"/><Relationship Id="rId79" Type="http://schemas.openxmlformats.org/officeDocument/2006/relationships/hyperlink" Target="https://eur-lex.europa.eu/eli/reg/2024/1689/oj" TargetMode="External"/><Relationship Id="rId102" Type="http://schemas.openxmlformats.org/officeDocument/2006/relationships/hyperlink" Target="https://doi.org/10.5555/2815674" TargetMode="External"/><Relationship Id="rId123" Type="http://schemas.openxmlformats.org/officeDocument/2006/relationships/hyperlink" Target="https://doi.org/10.1518/001872097778543886" TargetMode="External"/><Relationship Id="rId144" Type="http://schemas.openxmlformats.org/officeDocument/2006/relationships/hyperlink" Target="https://doi.org/10.1080/00461520.2011.611369" TargetMode="External"/><Relationship Id="rId90" Type="http://schemas.openxmlformats.org/officeDocument/2006/relationships/hyperlink" Target="https://academicintegrity.org/resources/fundamental-values" TargetMode="External"/><Relationship Id="rId165" Type="http://schemas.openxmlformats.org/officeDocument/2006/relationships/hyperlink" Target="mailto:jlazarog@unia.edu.pe" TargetMode="External"/><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hyperlink" Target="https://digitalcommons.law.uw.edu/wlr/vol89/iss1/2" TargetMode="External"/><Relationship Id="rId113" Type="http://schemas.openxmlformats.org/officeDocument/2006/relationships/hyperlink" Target="https://doi.org/10.17226/21896" TargetMode="External"/><Relationship Id="rId134" Type="http://schemas.openxmlformats.org/officeDocument/2006/relationships/hyperlink" Target="https://doi.org/10.1016/j.jbusres.2019.07.039" TargetMode="External"/><Relationship Id="rId80" Type="http://schemas.openxmlformats.org/officeDocument/2006/relationships/hyperlink" Target="https://doi.org/10.1007/s10758-022-09628-4" TargetMode="External"/><Relationship Id="rId155" Type="http://schemas.openxmlformats.org/officeDocument/2006/relationships/hyperlink" Target="https://doi.org/10.1207/s15430421tip4102_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981729ED-4349-4751-BF28-887F00DE6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1853</TotalTime>
  <Pages>198</Pages>
  <Words>77569</Words>
  <Characters>426632</Characters>
  <Application>Microsoft Office Word</Application>
  <DocSecurity>0</DocSecurity>
  <Lines>3555</Lines>
  <Paragraphs>1006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Barco Acosta</dc:creator>
  <cp:keywords/>
  <dc:description/>
  <cp:lastModifiedBy>Jonathan Barco Acosta</cp:lastModifiedBy>
  <cp:revision>632</cp:revision>
  <dcterms:created xsi:type="dcterms:W3CDTF">2026-07-18T01:33:00Z</dcterms:created>
  <dcterms:modified xsi:type="dcterms:W3CDTF">2026-09-05T00:31:00Z</dcterms:modified>
</cp:coreProperties>
</file>